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9711B9" w14:paraId="7F619F6A" w14:textId="77777777" w:rsidTr="004C55D8">
        <w:trPr>
          <w:trHeight w:val="851"/>
        </w:trPr>
        <w:tc>
          <w:tcPr>
            <w:tcW w:w="478" w:type="pct"/>
            <w:tcBorders>
              <w:bottom w:val="single" w:sz="8" w:space="0" w:color="auto"/>
            </w:tcBorders>
            <w:vAlign w:val="bottom"/>
          </w:tcPr>
          <w:p w14:paraId="0359C0D7" w14:textId="77777777" w:rsidR="00A96B21" w:rsidRPr="009711B9" w:rsidRDefault="00A96B21" w:rsidP="00F95257">
            <w:pPr>
              <w:spacing w:after="120"/>
              <w:jc w:val="left"/>
            </w:pPr>
            <w:bookmarkStart w:id="0" w:name="_Hlk137651738"/>
            <w:r w:rsidRPr="009711B9">
              <w:rPr>
                <w:noProof/>
                <w:lang w:val="fr-CA" w:eastAsia="fr-CA"/>
              </w:rPr>
              <w:drawing>
                <wp:inline distT="0" distB="0" distL="0" distR="0" wp14:anchorId="45FA7C0F" wp14:editId="3576297C">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2547B998" w14:textId="794B1A8B" w:rsidR="00A96B21" w:rsidRPr="009711B9" w:rsidRDefault="003321BF" w:rsidP="00F95257">
            <w:pPr>
              <w:spacing w:after="120"/>
              <w:jc w:val="left"/>
            </w:pPr>
            <w:r w:rsidRPr="00322430">
              <w:rPr>
                <w:noProof/>
                <w:lang w:val="fr-CA" w:eastAsia="fr-CA"/>
              </w:rPr>
              <w:drawing>
                <wp:inline distT="0" distB="0" distL="0" distR="0" wp14:anchorId="51463DEE" wp14:editId="0EC2C1FC">
                  <wp:extent cx="593725" cy="3409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639" w:type="pct"/>
            <w:tcBorders>
              <w:bottom w:val="single" w:sz="8" w:space="0" w:color="auto"/>
            </w:tcBorders>
            <w:vAlign w:val="bottom"/>
          </w:tcPr>
          <w:p w14:paraId="4BA7CC9E" w14:textId="50B06CF7" w:rsidR="00A96B21" w:rsidRPr="004C55D8" w:rsidRDefault="00A96B21" w:rsidP="0E7BD0FA">
            <w:pPr>
              <w:spacing w:after="120"/>
              <w:ind w:left="2021"/>
              <w:jc w:val="right"/>
            </w:pPr>
            <w:r w:rsidRPr="004C55D8">
              <w:rPr>
                <w:sz w:val="40"/>
                <w:szCs w:val="40"/>
              </w:rPr>
              <w:t>CBD</w:t>
            </w:r>
            <w:r w:rsidRPr="004C55D8">
              <w:t>/</w:t>
            </w:r>
            <w:r w:rsidR="00435A96" w:rsidRPr="004C55D8">
              <w:t>SBSTTA/25/</w:t>
            </w:r>
            <w:r w:rsidR="001B3AC3" w:rsidRPr="004C55D8">
              <w:t>7</w:t>
            </w:r>
          </w:p>
        </w:tc>
      </w:tr>
      <w:tr w:rsidR="00A96B21" w:rsidRPr="00322430" w14:paraId="2619343D" w14:textId="77777777" w:rsidTr="004C55D8">
        <w:tc>
          <w:tcPr>
            <w:tcW w:w="2361" w:type="pct"/>
            <w:gridSpan w:val="2"/>
            <w:tcBorders>
              <w:top w:val="single" w:sz="8" w:space="0" w:color="auto"/>
              <w:bottom w:val="single" w:sz="12" w:space="0" w:color="auto"/>
            </w:tcBorders>
          </w:tcPr>
          <w:p w14:paraId="5F2D936D" w14:textId="16474F93" w:rsidR="00A96B21" w:rsidRPr="009711B9" w:rsidRDefault="00322430" w:rsidP="00F95257">
            <w:pPr>
              <w:pStyle w:val="Cornernotation"/>
              <w:suppressLineNumbers/>
              <w:suppressAutoHyphens/>
              <w:spacing w:before="120" w:after="120"/>
              <w:ind w:right="0"/>
            </w:pPr>
            <w:r w:rsidRPr="00893C05">
              <w:rPr>
                <w:noProof/>
                <w:kern w:val="22"/>
                <w:lang w:val="fr-CA" w:eastAsia="fr-CA"/>
              </w:rPr>
              <w:drawing>
                <wp:inline distT="0" distB="0" distL="0" distR="0" wp14:anchorId="48C46FD3" wp14:editId="3302DF0C">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2639" w:type="pct"/>
            <w:tcBorders>
              <w:top w:val="single" w:sz="8" w:space="0" w:color="auto"/>
              <w:bottom w:val="single" w:sz="12" w:space="0" w:color="auto"/>
            </w:tcBorders>
          </w:tcPr>
          <w:p w14:paraId="727DA86B" w14:textId="01DD69FD" w:rsidR="00A96B21" w:rsidRPr="00322430" w:rsidRDefault="00A96B21" w:rsidP="003C6F10">
            <w:pPr>
              <w:ind w:left="2584"/>
              <w:rPr>
                <w:sz w:val="22"/>
                <w:szCs w:val="22"/>
                <w:lang w:val="fr-CA"/>
              </w:rPr>
            </w:pPr>
            <w:r w:rsidRPr="00322430">
              <w:rPr>
                <w:sz w:val="22"/>
                <w:szCs w:val="22"/>
                <w:lang w:val="fr-CA"/>
              </w:rPr>
              <w:t xml:space="preserve">Distr.: </w:t>
            </w:r>
            <w:r w:rsidR="00322430" w:rsidRPr="00322430">
              <w:rPr>
                <w:sz w:val="22"/>
                <w:szCs w:val="22"/>
                <w:lang w:val="fr-CA"/>
              </w:rPr>
              <w:t>Générale</w:t>
            </w:r>
          </w:p>
          <w:p w14:paraId="59B2F952" w14:textId="5D6485F8" w:rsidR="00A96B21" w:rsidRPr="00322430" w:rsidRDefault="007B5F89" w:rsidP="003C6F10">
            <w:pPr>
              <w:ind w:left="2584"/>
              <w:rPr>
                <w:sz w:val="22"/>
                <w:szCs w:val="22"/>
                <w:lang w:val="fr-CA"/>
              </w:rPr>
            </w:pPr>
            <w:r w:rsidRPr="00322430">
              <w:rPr>
                <w:sz w:val="22"/>
                <w:szCs w:val="22"/>
                <w:lang w:val="fr-CA"/>
              </w:rPr>
              <w:t xml:space="preserve">17 </w:t>
            </w:r>
            <w:r w:rsidR="00322430" w:rsidRPr="00322430">
              <w:rPr>
                <w:sz w:val="22"/>
                <w:szCs w:val="22"/>
                <w:lang w:val="fr-CA"/>
              </w:rPr>
              <w:t>août</w:t>
            </w:r>
            <w:r w:rsidR="00F71955" w:rsidRPr="00322430">
              <w:rPr>
                <w:sz w:val="22"/>
                <w:szCs w:val="22"/>
                <w:lang w:val="fr-CA"/>
              </w:rPr>
              <w:t xml:space="preserve"> 2023</w:t>
            </w:r>
          </w:p>
          <w:p w14:paraId="4213A092" w14:textId="77777777" w:rsidR="00A96B21" w:rsidRPr="00322430" w:rsidRDefault="00A96B21" w:rsidP="003C6F10">
            <w:pPr>
              <w:ind w:left="2584"/>
              <w:rPr>
                <w:sz w:val="22"/>
                <w:szCs w:val="22"/>
                <w:lang w:val="fr-CA"/>
              </w:rPr>
            </w:pPr>
          </w:p>
          <w:p w14:paraId="2DD42788" w14:textId="77777777" w:rsidR="00322430" w:rsidRDefault="00322430" w:rsidP="003C6F10">
            <w:pPr>
              <w:ind w:left="2584"/>
              <w:rPr>
                <w:sz w:val="22"/>
                <w:szCs w:val="22"/>
                <w:lang w:val="fr-CA"/>
              </w:rPr>
            </w:pPr>
            <w:r>
              <w:rPr>
                <w:sz w:val="22"/>
                <w:szCs w:val="22"/>
                <w:lang w:val="fr-CA"/>
              </w:rPr>
              <w:t>Français</w:t>
            </w:r>
          </w:p>
          <w:p w14:paraId="0603DC75" w14:textId="7E3728A8" w:rsidR="00A96B21" w:rsidRPr="00322430" w:rsidRDefault="00A96B21" w:rsidP="003C6F10">
            <w:pPr>
              <w:ind w:left="2584"/>
              <w:rPr>
                <w:sz w:val="22"/>
                <w:szCs w:val="22"/>
                <w:lang w:val="fr-CA"/>
              </w:rPr>
            </w:pPr>
            <w:r w:rsidRPr="00322430">
              <w:rPr>
                <w:sz w:val="22"/>
                <w:szCs w:val="22"/>
                <w:lang w:val="fr-CA"/>
              </w:rPr>
              <w:t>Original</w:t>
            </w:r>
            <w:r w:rsidR="00322430">
              <w:rPr>
                <w:sz w:val="22"/>
                <w:szCs w:val="22"/>
                <w:lang w:val="fr-CA"/>
              </w:rPr>
              <w:t xml:space="preserve"> </w:t>
            </w:r>
            <w:r w:rsidRPr="00322430">
              <w:rPr>
                <w:sz w:val="22"/>
                <w:szCs w:val="22"/>
                <w:lang w:val="fr-CA"/>
              </w:rPr>
              <w:t xml:space="preserve">: </w:t>
            </w:r>
            <w:r w:rsidR="00322430">
              <w:rPr>
                <w:sz w:val="22"/>
                <w:szCs w:val="22"/>
                <w:lang w:val="fr-CA"/>
              </w:rPr>
              <w:t>Anglais</w:t>
            </w:r>
          </w:p>
          <w:p w14:paraId="5D2D18B1" w14:textId="77777777" w:rsidR="00A96B21" w:rsidRPr="00322430" w:rsidRDefault="00A96B21" w:rsidP="00F95257">
            <w:pPr>
              <w:rPr>
                <w:lang w:val="fr-CA"/>
              </w:rPr>
            </w:pPr>
          </w:p>
        </w:tc>
      </w:tr>
    </w:tbl>
    <w:p w14:paraId="634290CE" w14:textId="77777777" w:rsidR="00322430" w:rsidRPr="00B00234" w:rsidRDefault="00322430" w:rsidP="00322430">
      <w:pPr>
        <w:pStyle w:val="Cornernotation"/>
        <w:suppressLineNumbers/>
        <w:suppressAutoHyphens/>
        <w:ind w:right="4682"/>
        <w:rPr>
          <w:b w:val="0"/>
          <w:bCs/>
          <w:snapToGrid w:val="0"/>
          <w:kern w:val="22"/>
          <w:lang w:val="fr-CA"/>
        </w:rPr>
      </w:pPr>
      <w:r w:rsidRPr="00B00234">
        <w:rPr>
          <w:bCs/>
          <w:lang w:val="fr-CA"/>
        </w:rPr>
        <w:t>Organe subsidiaire chargé de fournir des avis scientifiques, techniques et technologiques</w:t>
      </w:r>
    </w:p>
    <w:p w14:paraId="0BBA26E0" w14:textId="77777777" w:rsidR="00322430" w:rsidRPr="00B00234" w:rsidRDefault="00322430" w:rsidP="00322430">
      <w:pPr>
        <w:pStyle w:val="Cornernotation"/>
        <w:suppressLineNumbers/>
        <w:suppressAutoHyphens/>
        <w:ind w:right="4682"/>
        <w:rPr>
          <w:b w:val="0"/>
          <w:bCs/>
          <w:snapToGrid w:val="0"/>
          <w:kern w:val="22"/>
          <w:szCs w:val="22"/>
          <w:lang w:val="fr-CA"/>
        </w:rPr>
      </w:pPr>
      <w:r w:rsidRPr="00B00234">
        <w:rPr>
          <w:bCs/>
          <w:snapToGrid w:val="0"/>
          <w:kern w:val="22"/>
          <w:szCs w:val="22"/>
          <w:lang w:val="fr-CA"/>
        </w:rPr>
        <w:t>Vingt-cinquième réunion</w:t>
      </w:r>
    </w:p>
    <w:p w14:paraId="19FC5058" w14:textId="4CC0A628" w:rsidR="00A96B21" w:rsidRPr="00B00234" w:rsidRDefault="00322430" w:rsidP="00322430">
      <w:pPr>
        <w:pStyle w:val="Venuedate"/>
        <w:rPr>
          <w:lang w:val="fr-CA"/>
        </w:rPr>
      </w:pPr>
      <w:r w:rsidRPr="00B00234">
        <w:rPr>
          <w:snapToGrid w:val="0"/>
          <w:kern w:val="22"/>
          <w:lang w:val="fr-CA"/>
        </w:rPr>
        <w:t>Nairobi, 15</w:t>
      </w:r>
      <w:r w:rsidR="00B00234">
        <w:rPr>
          <w:snapToGrid w:val="0"/>
          <w:kern w:val="22"/>
          <w:lang w:val="fr-CA"/>
        </w:rPr>
        <w:t xml:space="preserve"> </w:t>
      </w:r>
      <w:r w:rsidRPr="00B00234">
        <w:rPr>
          <w:snapToGrid w:val="0"/>
          <w:kern w:val="22"/>
          <w:lang w:val="fr-CA"/>
        </w:rPr>
        <w:t>–</w:t>
      </w:r>
      <w:r w:rsidR="00B00234">
        <w:rPr>
          <w:snapToGrid w:val="0"/>
          <w:kern w:val="22"/>
          <w:lang w:val="fr-CA"/>
        </w:rPr>
        <w:t xml:space="preserve"> </w:t>
      </w:r>
      <w:r w:rsidRPr="00B00234">
        <w:rPr>
          <w:snapToGrid w:val="0"/>
          <w:kern w:val="22"/>
          <w:lang w:val="fr-CA"/>
        </w:rPr>
        <w:t>19 octobre 2023</w:t>
      </w:r>
    </w:p>
    <w:p w14:paraId="7FA2FB75" w14:textId="1BE8A5FC" w:rsidR="00A96B21" w:rsidRPr="00B00234" w:rsidRDefault="00322430" w:rsidP="00A96B21">
      <w:pPr>
        <w:pStyle w:val="Cornernotation-Item"/>
        <w:rPr>
          <w:b w:val="0"/>
          <w:bCs w:val="0"/>
          <w:lang w:val="fr-CA"/>
        </w:rPr>
      </w:pPr>
      <w:r w:rsidRPr="00B00234">
        <w:rPr>
          <w:b w:val="0"/>
          <w:bCs w:val="0"/>
          <w:lang w:val="fr-CA"/>
        </w:rPr>
        <w:t>Point 4 de l’o</w:t>
      </w:r>
      <w:r w:rsidR="00275895" w:rsidRPr="00B00234">
        <w:rPr>
          <w:b w:val="0"/>
          <w:bCs w:val="0"/>
          <w:lang w:val="fr-CA"/>
        </w:rPr>
        <w:t>r</w:t>
      </w:r>
      <w:r w:rsidRPr="00B00234">
        <w:rPr>
          <w:b w:val="0"/>
          <w:bCs w:val="0"/>
          <w:lang w:val="fr-CA"/>
        </w:rPr>
        <w:t>dre du jour provisoire</w:t>
      </w:r>
      <w:r w:rsidR="00A96B21" w:rsidRPr="00B00234">
        <w:rPr>
          <w:rStyle w:val="Appelnotedebasdep"/>
          <w:b w:val="0"/>
          <w:bCs w:val="0"/>
          <w:lang w:val="fr-CA"/>
        </w:rPr>
        <w:footnoteReference w:customMarkFollows="1" w:id="2"/>
        <w:t>*</w:t>
      </w:r>
    </w:p>
    <w:bookmarkEnd w:id="0"/>
    <w:p w14:paraId="360BEAE4" w14:textId="1763BFA5" w:rsidR="00275895" w:rsidRPr="00B00234" w:rsidRDefault="00275895" w:rsidP="00275895">
      <w:pPr>
        <w:pStyle w:val="Sous-titre"/>
        <w:spacing w:after="120"/>
        <w:ind w:right="3600"/>
        <w:jc w:val="left"/>
        <w:rPr>
          <w:rFonts w:ascii="Times New Roman" w:hAnsi="Times New Roman" w:cs="Times New Roman"/>
          <w:lang w:val="fr-CA"/>
        </w:rPr>
      </w:pPr>
      <w:r w:rsidRPr="00B00234">
        <w:rPr>
          <w:rFonts w:ascii="Times New Roman" w:hAnsi="Times New Roman" w:cs="Times New Roman"/>
          <w:lang w:val="fr-CA"/>
        </w:rPr>
        <w:t>Résultats des évaluations de la Plateforme intergouvernementale scientifique et politique sur la biodiversité et les services écosystémiques et du Groupe d</w:t>
      </w:r>
      <w:r w:rsidR="00B00234">
        <w:rPr>
          <w:rFonts w:ascii="Times New Roman" w:hAnsi="Times New Roman" w:cs="Times New Roman"/>
          <w:lang w:val="fr-CA"/>
        </w:rPr>
        <w:t>’</w:t>
      </w:r>
      <w:r w:rsidRPr="00B00234">
        <w:rPr>
          <w:rFonts w:ascii="Times New Roman" w:hAnsi="Times New Roman" w:cs="Times New Roman"/>
          <w:lang w:val="fr-CA"/>
        </w:rPr>
        <w:t>experts intergouvernemental sur l</w:t>
      </w:r>
      <w:r w:rsidR="00B00234">
        <w:rPr>
          <w:rFonts w:ascii="Times New Roman" w:hAnsi="Times New Roman" w:cs="Times New Roman"/>
          <w:lang w:val="fr-CA"/>
        </w:rPr>
        <w:t>’</w:t>
      </w:r>
      <w:r w:rsidRPr="00B00234">
        <w:rPr>
          <w:rFonts w:ascii="Times New Roman" w:hAnsi="Times New Roman" w:cs="Times New Roman"/>
          <w:lang w:val="fr-CA"/>
        </w:rPr>
        <w:t>évolution du climat et leurs incidences sur les travaux menés dans le cadre de la Convention</w:t>
      </w:r>
    </w:p>
    <w:p w14:paraId="6B5F7F7E" w14:textId="552EAB70" w:rsidR="00393612" w:rsidRPr="00B00234" w:rsidRDefault="00322430" w:rsidP="00A96B21">
      <w:pPr>
        <w:pStyle w:val="Sous-titre"/>
        <w:spacing w:before="120" w:after="120"/>
        <w:ind w:left="567"/>
        <w:jc w:val="left"/>
        <w:rPr>
          <w:rFonts w:ascii="Times New Roman" w:hAnsi="Times New Roman" w:cs="Times New Roman"/>
          <w:sz w:val="28"/>
          <w:szCs w:val="28"/>
          <w:lang w:val="fr-CA"/>
        </w:rPr>
      </w:pPr>
      <w:r w:rsidRPr="00B00234">
        <w:rPr>
          <w:rFonts w:ascii="Times New Roman" w:hAnsi="Times New Roman" w:cs="Times New Roman"/>
          <w:sz w:val="28"/>
          <w:szCs w:val="28"/>
          <w:lang w:val="fr-CA"/>
        </w:rPr>
        <w:t xml:space="preserve">Examen des </w:t>
      </w:r>
      <w:r w:rsidR="00393612" w:rsidRPr="00B00234">
        <w:rPr>
          <w:rFonts w:ascii="Times New Roman" w:hAnsi="Times New Roman" w:cs="Times New Roman"/>
          <w:sz w:val="28"/>
          <w:szCs w:val="28"/>
          <w:lang w:val="fr-CA"/>
        </w:rPr>
        <w:t>conclusions</w:t>
      </w:r>
      <w:r w:rsidRPr="00B00234">
        <w:rPr>
          <w:rFonts w:ascii="Times New Roman" w:hAnsi="Times New Roman" w:cs="Times New Roman"/>
          <w:sz w:val="28"/>
          <w:szCs w:val="28"/>
          <w:lang w:val="fr-CA"/>
        </w:rPr>
        <w:t xml:space="preserve"> </w:t>
      </w:r>
      <w:r w:rsidR="00393612" w:rsidRPr="00B00234">
        <w:rPr>
          <w:rFonts w:ascii="Times New Roman" w:hAnsi="Times New Roman" w:cs="Times New Roman"/>
          <w:sz w:val="28"/>
          <w:szCs w:val="28"/>
          <w:lang w:val="fr-CA"/>
        </w:rPr>
        <w:t xml:space="preserve">du </w:t>
      </w:r>
      <w:r w:rsidR="00393612" w:rsidRPr="00B00234">
        <w:rPr>
          <w:rFonts w:ascii="Times New Roman" w:hAnsi="Times New Roman" w:cs="Times New Roman"/>
          <w:i/>
          <w:sz w:val="28"/>
          <w:szCs w:val="28"/>
          <w:lang w:val="fr-CA"/>
        </w:rPr>
        <w:t xml:space="preserve">Rapport d’évaluation sur l’utilisation des espèces sauvages </w:t>
      </w:r>
      <w:r w:rsidRPr="00B00234">
        <w:rPr>
          <w:rFonts w:ascii="Times New Roman" w:hAnsi="Times New Roman" w:cs="Times New Roman"/>
          <w:i/>
          <w:sz w:val="28"/>
          <w:szCs w:val="28"/>
          <w:lang w:val="fr-CA"/>
        </w:rPr>
        <w:t>de la Plateforme intergouvernementale scientifique et politique sur la biodiversité et les services écosystémiques</w:t>
      </w:r>
      <w:r w:rsidRPr="00B00234">
        <w:rPr>
          <w:rFonts w:ascii="Times New Roman" w:hAnsi="Times New Roman" w:cs="Times New Roman"/>
          <w:sz w:val="28"/>
          <w:szCs w:val="28"/>
          <w:lang w:val="fr-CA"/>
        </w:rPr>
        <w:t xml:space="preserve"> et leurs incidences sur les travaux menés dans le cadre de la Convention</w:t>
      </w:r>
      <w:r w:rsidR="00B00234">
        <w:rPr>
          <w:rFonts w:ascii="Times New Roman" w:hAnsi="Times New Roman" w:cs="Times New Roman"/>
          <w:sz w:val="28"/>
          <w:szCs w:val="28"/>
          <w:lang w:val="fr-CA"/>
        </w:rPr>
        <w:t>.</w:t>
      </w:r>
    </w:p>
    <w:p w14:paraId="026B7266" w14:textId="7B3E102D" w:rsidR="00A96B21" w:rsidRPr="00B00234" w:rsidRDefault="00B00234" w:rsidP="006C6F7F">
      <w:pPr>
        <w:pStyle w:val="Sous-titre"/>
        <w:spacing w:before="120" w:after="120"/>
        <w:ind w:left="567"/>
        <w:jc w:val="left"/>
        <w:rPr>
          <w:rFonts w:ascii="Times New Roman" w:hAnsi="Times New Roman" w:cs="Times New Roman"/>
          <w:color w:val="auto"/>
          <w:lang w:val="fr-CA"/>
        </w:rPr>
      </w:pPr>
      <w:r>
        <w:rPr>
          <w:rFonts w:ascii="Times New Roman" w:hAnsi="Times New Roman" w:cs="Times New Roman"/>
          <w:color w:val="auto"/>
          <w:lang w:val="fr-CA"/>
        </w:rPr>
        <w:t>Note du Secrétariat</w:t>
      </w:r>
    </w:p>
    <w:p w14:paraId="6F105B24" w14:textId="53AC3FB1" w:rsidR="00FA18C9" w:rsidRPr="00B00234" w:rsidRDefault="00F1514C" w:rsidP="007C77BC">
      <w:pPr>
        <w:pStyle w:val="Titre1"/>
        <w:rPr>
          <w:rFonts w:cs="Times New Roman"/>
        </w:rPr>
      </w:pPr>
      <w:r w:rsidRPr="00B00234">
        <w:rPr>
          <w:rFonts w:cs="Times New Roman"/>
        </w:rPr>
        <w:t>Introduction</w:t>
      </w:r>
    </w:p>
    <w:p w14:paraId="618554BC" w14:textId="38953C37" w:rsidR="00C2354A" w:rsidRPr="00B00234" w:rsidRDefault="009351DA" w:rsidP="009351DA">
      <w:pPr>
        <w:pStyle w:val="Para1"/>
        <w:rPr>
          <w:lang w:val="fr-CA"/>
        </w:rPr>
      </w:pPr>
      <w:r w:rsidRPr="00B00234">
        <w:rPr>
          <w:lang w:val="fr-CA"/>
        </w:rPr>
        <w:t>Dans sa d</w:t>
      </w:r>
      <w:r w:rsidR="00B00234">
        <w:rPr>
          <w:lang w:val="fr-CA"/>
        </w:rPr>
        <w:t>é</w:t>
      </w:r>
      <w:r w:rsidRPr="00B00234">
        <w:rPr>
          <w:lang w:val="fr-CA"/>
        </w:rPr>
        <w:t xml:space="preserve">cision </w:t>
      </w:r>
      <w:hyperlink r:id="rId14">
        <w:r w:rsidR="00A13EAC" w:rsidRPr="00B00234">
          <w:rPr>
            <w:rStyle w:val="Lienhypertexte"/>
            <w:lang w:val="fr-CA"/>
          </w:rPr>
          <w:t>15/23</w:t>
        </w:r>
      </w:hyperlink>
      <w:r w:rsidR="001B462F" w:rsidRPr="00B00234">
        <w:rPr>
          <w:rStyle w:val="Lienhypertexte"/>
          <w:lang w:val="fr-CA"/>
        </w:rPr>
        <w:t>,</w:t>
      </w:r>
      <w:r w:rsidR="00A13EAC" w:rsidRPr="00B00234">
        <w:rPr>
          <w:lang w:val="fr-CA"/>
        </w:rPr>
        <w:t xml:space="preserve"> </w:t>
      </w:r>
      <w:r w:rsidRPr="00B00234">
        <w:rPr>
          <w:lang w:val="fr-CA"/>
        </w:rPr>
        <w:t>sur la gestion dura</w:t>
      </w:r>
      <w:r w:rsidR="00051C12" w:rsidRPr="00B00234">
        <w:rPr>
          <w:lang w:val="fr-CA"/>
        </w:rPr>
        <w:t>ble de la vie sauvage, la Confé</w:t>
      </w:r>
      <w:r w:rsidRPr="00B00234">
        <w:rPr>
          <w:lang w:val="fr-CA"/>
        </w:rPr>
        <w:t>rence des Parties à la Convention sur la diversité biologique prie la Secrét</w:t>
      </w:r>
      <w:r w:rsidR="00B00234">
        <w:rPr>
          <w:lang w:val="fr-CA"/>
        </w:rPr>
        <w:t>a</w:t>
      </w:r>
      <w:r w:rsidRPr="00B00234">
        <w:rPr>
          <w:lang w:val="fr-CA"/>
        </w:rPr>
        <w:t xml:space="preserve">ire </w:t>
      </w:r>
      <w:r w:rsidR="00051C12" w:rsidRPr="00B00234">
        <w:rPr>
          <w:lang w:val="fr-CA"/>
        </w:rPr>
        <w:t xml:space="preserve">exécutive de </w:t>
      </w:r>
      <w:r w:rsidR="00051C12" w:rsidRPr="00B00234">
        <w:rPr>
          <w:kern w:val="22"/>
          <w:lang w:val="fr-CA"/>
        </w:rPr>
        <w:t xml:space="preserve">continuer à collaborer étroitement avec le secrétariat de la Plateforme intergouvernementale scientifique et politique sur la biodiversité et les </w:t>
      </w:r>
      <w:r w:rsidR="00051C12" w:rsidRPr="00B00234">
        <w:rPr>
          <w:noProof/>
          <w:kern w:val="22"/>
          <w:lang w:val="fr-CA"/>
        </w:rPr>
        <w:t>services écosystémiques</w:t>
      </w:r>
      <w:r w:rsidR="00051C12" w:rsidRPr="00B00234">
        <w:rPr>
          <w:kern w:val="22"/>
          <w:lang w:val="fr-CA"/>
        </w:rPr>
        <w:t xml:space="preserve">, notamment </w:t>
      </w:r>
      <w:r w:rsidR="00D911C4" w:rsidRPr="00B00234">
        <w:rPr>
          <w:kern w:val="22"/>
          <w:lang w:val="fr-CA"/>
        </w:rPr>
        <w:t>en ce qui a trait aux</w:t>
      </w:r>
      <w:r w:rsidR="00051C12" w:rsidRPr="00B00234">
        <w:rPr>
          <w:kern w:val="22"/>
          <w:lang w:val="fr-CA"/>
        </w:rPr>
        <w:t xml:space="preserve"> implications de l’évaluation </w:t>
      </w:r>
      <w:r w:rsidR="00D911C4" w:rsidRPr="00B00234">
        <w:rPr>
          <w:kern w:val="22"/>
          <w:lang w:val="fr-CA"/>
        </w:rPr>
        <w:t>de</w:t>
      </w:r>
      <w:r w:rsidR="00051C12" w:rsidRPr="00B00234">
        <w:rPr>
          <w:kern w:val="22"/>
          <w:lang w:val="fr-CA"/>
        </w:rPr>
        <w:t xml:space="preserve"> l’utilisation durable des espèces sauvages </w:t>
      </w:r>
      <w:r w:rsidR="0061700A" w:rsidRPr="00B00234">
        <w:rPr>
          <w:rStyle w:val="Appelnotedebasdep"/>
          <w:lang w:val="fr-CA"/>
        </w:rPr>
        <w:footnoteReference w:id="3"/>
      </w:r>
      <w:r w:rsidR="00051C12" w:rsidRPr="00B00234">
        <w:rPr>
          <w:lang w:val="fr-CA"/>
        </w:rPr>
        <w:t xml:space="preserve"> </w:t>
      </w:r>
      <w:r w:rsidR="008F697C">
        <w:rPr>
          <w:kern w:val="22"/>
          <w:lang w:val="fr-CA"/>
        </w:rPr>
        <w:t>pour la mise en œuvre du C</w:t>
      </w:r>
      <w:r w:rsidR="00051C12" w:rsidRPr="00B00234">
        <w:rPr>
          <w:kern w:val="22"/>
          <w:lang w:val="fr-CA"/>
        </w:rPr>
        <w:t>adre mondial de la biodiversité de Kunming-Montréal</w:t>
      </w:r>
      <w:r w:rsidR="00736BAF" w:rsidRPr="00B00234">
        <w:rPr>
          <w:lang w:val="fr-CA"/>
        </w:rPr>
        <w:t xml:space="preserve">, </w:t>
      </w:r>
      <w:r w:rsidR="00051C12" w:rsidRPr="00B00234">
        <w:rPr>
          <w:lang w:val="fr-CA"/>
        </w:rPr>
        <w:t xml:space="preserve">adopté dans la décision 15/4. </w:t>
      </w:r>
      <w:r w:rsidR="00002E2F" w:rsidRPr="00B00234">
        <w:rPr>
          <w:lang w:val="fr-CA"/>
        </w:rPr>
        <w:t xml:space="preserve">Elle a aussi demandé à la Secrétaire exécutive de </w:t>
      </w:r>
      <w:r w:rsidR="00002E2F" w:rsidRPr="00B00234">
        <w:rPr>
          <w:kern w:val="22"/>
          <w:lang w:val="fr-CA"/>
        </w:rPr>
        <w:t>rendre compte des progrès accomplis dans le cadre cette activité à l’Organe subsidiaire chargé de fournir des avis scientifiques, techniques et technologiques lors d’une réunion qui se tiendra avant la seizième réunion de la Conférence des Parties</w:t>
      </w:r>
      <w:r w:rsidR="007044DC" w:rsidRPr="00B00234">
        <w:rPr>
          <w:lang w:val="fr-CA"/>
        </w:rPr>
        <w:t>.</w:t>
      </w:r>
    </w:p>
    <w:p w14:paraId="2E7378ED" w14:textId="4AE257F2" w:rsidR="004A6DC9" w:rsidRPr="00B00234" w:rsidRDefault="00002E2F" w:rsidP="00016597">
      <w:pPr>
        <w:pStyle w:val="Para1"/>
        <w:rPr>
          <w:lang w:val="fr-CA"/>
        </w:rPr>
      </w:pPr>
      <w:r w:rsidRPr="00B00234">
        <w:rPr>
          <w:lang w:val="fr-CA"/>
        </w:rPr>
        <w:t xml:space="preserve">La présente note a été préparée en réponse à ces demandes. Elle contient un aperçu des travaux sur l’utilisation durable </w:t>
      </w:r>
      <w:r w:rsidR="00D911C4" w:rsidRPr="00B00234">
        <w:rPr>
          <w:lang w:val="fr-CA"/>
        </w:rPr>
        <w:t>menés</w:t>
      </w:r>
      <w:r w:rsidRPr="00B00234">
        <w:rPr>
          <w:lang w:val="fr-CA"/>
        </w:rPr>
        <w:t xml:space="preserve"> </w:t>
      </w:r>
      <w:r w:rsidR="00D911C4" w:rsidRPr="00B00234">
        <w:rPr>
          <w:lang w:val="fr-CA"/>
        </w:rPr>
        <w:t>dans le cadre</w:t>
      </w:r>
      <w:r w:rsidRPr="00B00234">
        <w:rPr>
          <w:lang w:val="fr-CA"/>
        </w:rPr>
        <w:t xml:space="preserve"> de la Convention, en tant que contexte pour l’évaluation et </w:t>
      </w:r>
      <w:r w:rsidR="00A62E2E">
        <w:rPr>
          <w:lang w:val="fr-CA"/>
        </w:rPr>
        <w:t>ses</w:t>
      </w:r>
      <w:r w:rsidR="00A834EB" w:rsidRPr="00B00234">
        <w:rPr>
          <w:lang w:val="fr-CA"/>
        </w:rPr>
        <w:t xml:space="preserve"> lien</w:t>
      </w:r>
      <w:r w:rsidR="00D911C4" w:rsidRPr="00B00234">
        <w:rPr>
          <w:lang w:val="fr-CA"/>
        </w:rPr>
        <w:t>s avec la Co</w:t>
      </w:r>
      <w:r w:rsidR="00A834EB" w:rsidRPr="00B00234">
        <w:rPr>
          <w:lang w:val="fr-CA"/>
        </w:rPr>
        <w:t>nvention (partie II), les principales conclusions de l’évalua</w:t>
      </w:r>
      <w:r w:rsidR="00D911C4" w:rsidRPr="00B00234">
        <w:rPr>
          <w:lang w:val="fr-CA"/>
        </w:rPr>
        <w:t>tion (partie III), u</w:t>
      </w:r>
      <w:r w:rsidR="00A834EB" w:rsidRPr="00B00234">
        <w:rPr>
          <w:lang w:val="fr-CA"/>
        </w:rPr>
        <w:t xml:space="preserve">n aperçu de ses </w:t>
      </w:r>
      <w:r w:rsidR="00D911C4" w:rsidRPr="00B00234">
        <w:rPr>
          <w:lang w:val="fr-CA"/>
        </w:rPr>
        <w:t>implications pour</w:t>
      </w:r>
      <w:r w:rsidR="00A834EB" w:rsidRPr="00B00234">
        <w:rPr>
          <w:lang w:val="fr-CA"/>
        </w:rPr>
        <w:t xml:space="preserve"> les travaux </w:t>
      </w:r>
      <w:r w:rsidR="00D911C4" w:rsidRPr="00B00234">
        <w:rPr>
          <w:lang w:val="fr-CA"/>
        </w:rPr>
        <w:t xml:space="preserve">menés dans le cadre </w:t>
      </w:r>
      <w:r w:rsidR="00A834EB" w:rsidRPr="00B00234">
        <w:rPr>
          <w:lang w:val="fr-CA"/>
        </w:rPr>
        <w:t>de la Convention (partie IV) et les recommandations à l’intention de l’Organe subsidiaire</w:t>
      </w:r>
      <w:r w:rsidR="00090178" w:rsidRPr="00B00234">
        <w:rPr>
          <w:lang w:val="fr-CA"/>
        </w:rPr>
        <w:t xml:space="preserve"> (partie V)</w:t>
      </w:r>
      <w:r w:rsidR="002717E2" w:rsidRPr="00B00234">
        <w:rPr>
          <w:lang w:val="fr-CA"/>
        </w:rPr>
        <w:t>.</w:t>
      </w:r>
    </w:p>
    <w:p w14:paraId="6CFF9BE7" w14:textId="50475713" w:rsidR="00390F2F" w:rsidRPr="00B00234" w:rsidRDefault="00A834EB" w:rsidP="00AB3913">
      <w:pPr>
        <w:pStyle w:val="Titre1"/>
        <w:rPr>
          <w:rFonts w:cs="Times New Roman"/>
          <w:lang w:val="fr-CA"/>
        </w:rPr>
      </w:pPr>
      <w:r w:rsidRPr="00B00234">
        <w:rPr>
          <w:rFonts w:cs="Times New Roman"/>
          <w:lang w:val="fr-CA"/>
        </w:rPr>
        <w:lastRenderedPageBreak/>
        <w:t>Contexte : Utilisation durable dans le contexte de la Convention</w:t>
      </w:r>
    </w:p>
    <w:p w14:paraId="7D5F6FDC" w14:textId="567BB3D9" w:rsidR="008D78FB" w:rsidRPr="00B00234" w:rsidRDefault="00A26DAC" w:rsidP="00016597">
      <w:pPr>
        <w:pStyle w:val="Para1"/>
        <w:rPr>
          <w:lang w:val="fr-CA"/>
        </w:rPr>
      </w:pPr>
      <w:r w:rsidRPr="00B00234">
        <w:rPr>
          <w:lang w:val="fr-CA"/>
        </w:rPr>
        <w:t xml:space="preserve">L’utilisation durable est un des trois objectifs de la Convention, énoncés dans l’article 1. </w:t>
      </w:r>
      <w:r w:rsidR="00090178" w:rsidRPr="00B00234">
        <w:rPr>
          <w:lang w:val="fr-CA"/>
        </w:rPr>
        <w:t>Le texte de la Conven</w:t>
      </w:r>
      <w:r w:rsidR="00E527BA" w:rsidRPr="00B00234">
        <w:rPr>
          <w:lang w:val="fr-CA"/>
        </w:rPr>
        <w:t xml:space="preserve">tion </w:t>
      </w:r>
      <w:r w:rsidR="00090178" w:rsidRPr="00B00234">
        <w:rPr>
          <w:lang w:val="fr-CA"/>
        </w:rPr>
        <w:t>mentionne</w:t>
      </w:r>
      <w:r w:rsidR="00E527BA" w:rsidRPr="00B00234">
        <w:rPr>
          <w:lang w:val="fr-CA"/>
        </w:rPr>
        <w:t xml:space="preserve"> explicitement l’</w:t>
      </w:r>
      <w:r w:rsidR="00090178" w:rsidRPr="00B00234">
        <w:rPr>
          <w:lang w:val="fr-CA"/>
        </w:rPr>
        <w:t>utilisation durable, notamment dans</w:t>
      </w:r>
      <w:r w:rsidR="00E527BA" w:rsidRPr="00B00234">
        <w:rPr>
          <w:lang w:val="fr-CA"/>
        </w:rPr>
        <w:t xml:space="preserve"> l’article 6 (sur les stratégies, les plans et les programmes</w:t>
      </w:r>
      <w:r w:rsidR="00090178" w:rsidRPr="00B00234">
        <w:rPr>
          <w:lang w:val="fr-CA"/>
        </w:rPr>
        <w:t>)</w:t>
      </w:r>
      <w:r w:rsidR="00E527BA" w:rsidRPr="00B00234">
        <w:rPr>
          <w:lang w:val="fr-CA"/>
        </w:rPr>
        <w:t>, l’article 8 (conservation in situ) et l’article 10 (utilisation coutumière durable)</w:t>
      </w:r>
      <w:r w:rsidR="001469FE" w:rsidRPr="00B00234">
        <w:rPr>
          <w:lang w:val="fr-CA"/>
        </w:rPr>
        <w:t>.</w:t>
      </w:r>
    </w:p>
    <w:p w14:paraId="5ED9934D" w14:textId="63B7B096" w:rsidR="007B184D" w:rsidRPr="00B00234" w:rsidRDefault="00E527BA" w:rsidP="00016597">
      <w:pPr>
        <w:pStyle w:val="Para1"/>
        <w:rPr>
          <w:lang w:val="fr-CA"/>
        </w:rPr>
      </w:pPr>
      <w:r w:rsidRPr="00B00234">
        <w:rPr>
          <w:lang w:val="fr-CA"/>
        </w:rPr>
        <w:t xml:space="preserve">L’utilisation durable a été incorporée </w:t>
      </w:r>
      <w:r w:rsidR="00090178" w:rsidRPr="00B00234">
        <w:rPr>
          <w:lang w:val="fr-CA"/>
        </w:rPr>
        <w:t>dans</w:t>
      </w:r>
      <w:r w:rsidRPr="00B00234">
        <w:rPr>
          <w:lang w:val="fr-CA"/>
        </w:rPr>
        <w:t xml:space="preserve"> les travau</w:t>
      </w:r>
      <w:r w:rsidR="00090178" w:rsidRPr="00B00234">
        <w:rPr>
          <w:lang w:val="fr-CA"/>
        </w:rPr>
        <w:t xml:space="preserve">x </w:t>
      </w:r>
      <w:r w:rsidRPr="00B00234">
        <w:rPr>
          <w:lang w:val="fr-CA"/>
        </w:rPr>
        <w:t>réalisés au titre de la Convention par le biais de ses programmes de travail thématiques et ses questions intersectorielles</w:t>
      </w:r>
      <w:r w:rsidR="00F84D67" w:rsidRPr="00B00234">
        <w:rPr>
          <w:lang w:val="fr-CA"/>
        </w:rPr>
        <w:t>.</w:t>
      </w:r>
      <w:r w:rsidR="00F65E8D" w:rsidRPr="00B00234">
        <w:rPr>
          <w:lang w:val="fr-CA"/>
        </w:rPr>
        <w:t xml:space="preserve"> </w:t>
      </w:r>
      <w:r w:rsidR="00A62E2E">
        <w:rPr>
          <w:lang w:val="fr-CA"/>
        </w:rPr>
        <w:t>De plus,</w:t>
      </w:r>
      <w:r w:rsidRPr="00B00234">
        <w:rPr>
          <w:lang w:val="fr-CA"/>
        </w:rPr>
        <w:t xml:space="preserve"> la Conférence des Parties a adopt</w:t>
      </w:r>
      <w:r w:rsidR="001E773C" w:rsidRPr="00B00234">
        <w:rPr>
          <w:lang w:val="fr-CA"/>
        </w:rPr>
        <w:t>é, en 2004,</w:t>
      </w:r>
      <w:r w:rsidRPr="00B00234">
        <w:rPr>
          <w:lang w:val="fr-CA"/>
        </w:rPr>
        <w:t xml:space="preserve"> les </w:t>
      </w:r>
      <w:r w:rsidR="00CD0F67" w:rsidRPr="00B00234">
        <w:rPr>
          <w:lang w:val="fr-CA"/>
        </w:rPr>
        <w:t>Principes</w:t>
      </w:r>
      <w:r w:rsidRPr="00B00234">
        <w:rPr>
          <w:lang w:val="fr-CA"/>
        </w:rPr>
        <w:t xml:space="preserve"> et lignes directrices d’</w:t>
      </w:r>
      <w:r w:rsidR="00F17621" w:rsidRPr="00B00234">
        <w:rPr>
          <w:lang w:val="fr-CA"/>
        </w:rPr>
        <w:t>Addi</w:t>
      </w:r>
      <w:r w:rsidR="00090178" w:rsidRPr="00B00234">
        <w:rPr>
          <w:lang w:val="fr-CA"/>
        </w:rPr>
        <w:t>s-A</w:t>
      </w:r>
      <w:r w:rsidRPr="00B00234">
        <w:rPr>
          <w:lang w:val="fr-CA"/>
        </w:rPr>
        <w:t>beba</w:t>
      </w:r>
      <w:r w:rsidR="00090178" w:rsidRPr="00B00234">
        <w:rPr>
          <w:lang w:val="fr-CA"/>
        </w:rPr>
        <w:t xml:space="preserve"> sur l’u</w:t>
      </w:r>
      <w:r w:rsidR="00F17621" w:rsidRPr="00B00234">
        <w:rPr>
          <w:lang w:val="fr-CA"/>
        </w:rPr>
        <w:t>tilisation durable de la diversité biologique</w:t>
      </w:r>
      <w:r w:rsidR="001E773C" w:rsidRPr="00B00234">
        <w:rPr>
          <w:lang w:val="fr-CA"/>
        </w:rPr>
        <w:t>,</w:t>
      </w:r>
      <w:r w:rsidR="00F17621" w:rsidRPr="00B00234">
        <w:rPr>
          <w:lang w:val="fr-CA"/>
        </w:rPr>
        <w:t xml:space="preserve"> qui </w:t>
      </w:r>
      <w:r w:rsidR="001E773C" w:rsidRPr="00B00234">
        <w:rPr>
          <w:lang w:val="fr-CA"/>
        </w:rPr>
        <w:t>comprennent</w:t>
      </w:r>
      <w:r w:rsidR="00F17621" w:rsidRPr="00B00234">
        <w:rPr>
          <w:lang w:val="fr-CA"/>
        </w:rPr>
        <w:t xml:space="preserve"> 14 principes pratiques </w:t>
      </w:r>
      <w:r w:rsidR="001E773C" w:rsidRPr="00B00234">
        <w:rPr>
          <w:lang w:val="fr-CA"/>
        </w:rPr>
        <w:t>solidaires</w:t>
      </w:r>
      <w:r w:rsidR="00F17621" w:rsidRPr="00B00234">
        <w:rPr>
          <w:lang w:val="fr-CA"/>
        </w:rPr>
        <w:t>, des lignes directrices opérationnelles et quelques instruments pour leur mise en œuvr</w:t>
      </w:r>
      <w:r w:rsidR="00A62E2E">
        <w:rPr>
          <w:lang w:val="fr-CA"/>
        </w:rPr>
        <w:t>e</w:t>
      </w:r>
      <w:r w:rsidR="001E773C" w:rsidRPr="00B00234">
        <w:rPr>
          <w:lang w:val="fr-CA"/>
        </w:rPr>
        <w:t xml:space="preserve"> qui régi</w:t>
      </w:r>
      <w:r w:rsidR="00F17621" w:rsidRPr="00B00234">
        <w:rPr>
          <w:lang w:val="fr-CA"/>
        </w:rPr>
        <w:t>ssent l’utili</w:t>
      </w:r>
      <w:r w:rsidR="001E773C" w:rsidRPr="00B00234">
        <w:rPr>
          <w:lang w:val="fr-CA"/>
        </w:rPr>
        <w:t>s</w:t>
      </w:r>
      <w:r w:rsidR="00F17621" w:rsidRPr="00B00234">
        <w:rPr>
          <w:lang w:val="fr-CA"/>
        </w:rPr>
        <w:t>ation des éléments constitut</w:t>
      </w:r>
      <w:r w:rsidR="001E773C" w:rsidRPr="00B00234">
        <w:rPr>
          <w:lang w:val="fr-CA"/>
        </w:rPr>
        <w:t>i</w:t>
      </w:r>
      <w:r w:rsidR="00F17621" w:rsidRPr="00B00234">
        <w:rPr>
          <w:lang w:val="fr-CA"/>
        </w:rPr>
        <w:t>fs de la diversité biologique</w:t>
      </w:r>
      <w:r w:rsidR="001E773C" w:rsidRPr="00B00234">
        <w:rPr>
          <w:lang w:val="fr-CA"/>
        </w:rPr>
        <w:t>,</w:t>
      </w:r>
      <w:r w:rsidR="00F17621" w:rsidRPr="00B00234">
        <w:rPr>
          <w:lang w:val="fr-CA"/>
        </w:rPr>
        <w:t xml:space="preserve"> afin de garantir la durabilité de ces utilisations. Les principes ont pour objectif de fournir un cadre pour conseiller les gouvernements, les gestionnaires de ressources, les peuples autochtones et les communautés locales, le secteur privé et les autres parti</w:t>
      </w:r>
      <w:r w:rsidR="000E6F10" w:rsidRPr="00B00234">
        <w:rPr>
          <w:lang w:val="fr-CA"/>
        </w:rPr>
        <w:t>es p</w:t>
      </w:r>
      <w:r w:rsidR="00F17621" w:rsidRPr="00B00234">
        <w:rPr>
          <w:lang w:val="fr-CA"/>
        </w:rPr>
        <w:t>renantes sur les moyen</w:t>
      </w:r>
      <w:r w:rsidR="000E6F10" w:rsidRPr="00B00234">
        <w:rPr>
          <w:lang w:val="fr-CA"/>
        </w:rPr>
        <w:t>s de veiller à ce que leur utilisation des élémen</w:t>
      </w:r>
      <w:r w:rsidR="00F17621" w:rsidRPr="00B00234">
        <w:rPr>
          <w:lang w:val="fr-CA"/>
        </w:rPr>
        <w:t>ts de la diversité biologi</w:t>
      </w:r>
      <w:r w:rsidR="000E6F10" w:rsidRPr="00B00234">
        <w:rPr>
          <w:lang w:val="fr-CA"/>
        </w:rPr>
        <w:t>que ne cause</w:t>
      </w:r>
      <w:r w:rsidR="00F17621" w:rsidRPr="00B00234">
        <w:rPr>
          <w:lang w:val="fr-CA"/>
        </w:rPr>
        <w:t xml:space="preserve"> pas le déclin à long terme de la diversité biologique.</w:t>
      </w:r>
    </w:p>
    <w:p w14:paraId="48887363" w14:textId="21F2A0B1" w:rsidR="008405BC" w:rsidRPr="00B00234" w:rsidRDefault="000E6F10" w:rsidP="00016597">
      <w:pPr>
        <w:pStyle w:val="Para1"/>
        <w:rPr>
          <w:lang w:val="fr-CA"/>
        </w:rPr>
      </w:pPr>
      <w:r w:rsidRPr="00B00234">
        <w:rPr>
          <w:lang w:val="fr-CA"/>
        </w:rPr>
        <w:t>L</w:t>
      </w:r>
      <w:r w:rsidR="00E13942" w:rsidRPr="00B00234">
        <w:rPr>
          <w:lang w:val="fr-CA"/>
        </w:rPr>
        <w:t>e Partenariat de collaboration sur la gestion durable de</w:t>
      </w:r>
      <w:r w:rsidR="004A789D" w:rsidRPr="00B00234">
        <w:rPr>
          <w:lang w:val="fr-CA"/>
        </w:rPr>
        <w:t xml:space="preserve"> </w:t>
      </w:r>
      <w:r w:rsidR="00E13942" w:rsidRPr="00B00234">
        <w:rPr>
          <w:lang w:val="fr-CA"/>
        </w:rPr>
        <w:t>la vie sauvage</w:t>
      </w:r>
      <w:r w:rsidR="004A789D" w:rsidRPr="00B00234">
        <w:rPr>
          <w:lang w:val="fr-CA"/>
        </w:rPr>
        <w:t xml:space="preserve"> a été créé </w:t>
      </w:r>
      <w:r w:rsidRPr="00B00234">
        <w:rPr>
          <w:lang w:val="fr-CA"/>
        </w:rPr>
        <w:t xml:space="preserve">en réponse à la demande formulée par la Conférence des Parties dans sa décision XI/25, </w:t>
      </w:r>
      <w:r w:rsidR="004A789D" w:rsidRPr="00B00234">
        <w:rPr>
          <w:lang w:val="fr-CA"/>
        </w:rPr>
        <w:t>dans le but d</w:t>
      </w:r>
      <w:r w:rsidRPr="00B00234">
        <w:rPr>
          <w:lang w:val="fr-CA"/>
        </w:rPr>
        <w:t>’accroître la collaboration</w:t>
      </w:r>
      <w:r w:rsidR="004A789D" w:rsidRPr="00B00234">
        <w:rPr>
          <w:lang w:val="fr-CA"/>
        </w:rPr>
        <w:t xml:space="preserve"> et la coordination</w:t>
      </w:r>
      <w:r w:rsidR="00A77B38" w:rsidRPr="00B00234">
        <w:rPr>
          <w:lang w:val="fr-CA"/>
        </w:rPr>
        <w:t>, et ainsi</w:t>
      </w:r>
      <w:r w:rsidR="004A789D" w:rsidRPr="00B00234">
        <w:rPr>
          <w:lang w:val="fr-CA"/>
        </w:rPr>
        <w:t xml:space="preserve"> co</w:t>
      </w:r>
      <w:r w:rsidR="00A77B38" w:rsidRPr="00B00234">
        <w:rPr>
          <w:lang w:val="fr-CA"/>
        </w:rPr>
        <w:t>ntribuer à la conservation et à l</w:t>
      </w:r>
      <w:r w:rsidR="004A789D" w:rsidRPr="00B00234">
        <w:rPr>
          <w:lang w:val="fr-CA"/>
        </w:rPr>
        <w:t>’utilisation durable de la diversité biologique,</w:t>
      </w:r>
      <w:r w:rsidR="006311B2">
        <w:rPr>
          <w:lang w:val="fr-CA"/>
        </w:rPr>
        <w:t xml:space="preserve"> à la sécurité alimentaire, à la subsistanc</w:t>
      </w:r>
      <w:r w:rsidR="004A789D" w:rsidRPr="00B00234">
        <w:rPr>
          <w:lang w:val="fr-CA"/>
        </w:rPr>
        <w:t>e et au bien-être. Le Partenariat regroupe actuellement 14 membres, dont le Secrétariat.</w:t>
      </w:r>
    </w:p>
    <w:p w14:paraId="394E9FD5" w14:textId="5F32DCDB" w:rsidR="00AC35E4" w:rsidRPr="00B00234" w:rsidRDefault="004A789D" w:rsidP="00016597">
      <w:pPr>
        <w:pStyle w:val="Para1"/>
        <w:rPr>
          <w:lang w:val="fr-CA"/>
        </w:rPr>
      </w:pPr>
      <w:r w:rsidRPr="00B00234">
        <w:rPr>
          <w:lang w:val="fr-CA"/>
        </w:rPr>
        <w:t>Le Cadre mondial de la biodiversité de Kunming</w:t>
      </w:r>
      <w:r w:rsidR="006311B2">
        <w:rPr>
          <w:lang w:val="fr-CA"/>
        </w:rPr>
        <w:t>-</w:t>
      </w:r>
      <w:r w:rsidRPr="00B00234">
        <w:rPr>
          <w:lang w:val="fr-CA"/>
        </w:rPr>
        <w:t>Montréal me</w:t>
      </w:r>
      <w:r w:rsidR="00A77B38" w:rsidRPr="00B00234">
        <w:rPr>
          <w:lang w:val="fr-CA"/>
        </w:rPr>
        <w:t>ntionne spécifiquement dans sa Cible 5</w:t>
      </w:r>
      <w:r w:rsidRPr="00B00234">
        <w:rPr>
          <w:lang w:val="fr-CA"/>
        </w:rPr>
        <w:t xml:space="preserve"> l’utilisation durable, sécuritaire et légale des espèces sauvages</w:t>
      </w:r>
      <w:r w:rsidR="00E46C0C" w:rsidRPr="00B00234">
        <w:rPr>
          <w:lang w:val="fr-CA"/>
        </w:rPr>
        <w:t>, tout en abordant les questi</w:t>
      </w:r>
      <w:r w:rsidR="00A77B38" w:rsidRPr="00B00234">
        <w:rPr>
          <w:lang w:val="fr-CA"/>
        </w:rPr>
        <w:t>ons d</w:t>
      </w:r>
      <w:r w:rsidR="00E46C0C" w:rsidRPr="00B00234">
        <w:rPr>
          <w:lang w:val="fr-CA"/>
        </w:rPr>
        <w:t>e la conservation ex situ et l</w:t>
      </w:r>
      <w:r w:rsidR="00A77B38" w:rsidRPr="00B00234">
        <w:rPr>
          <w:lang w:val="fr-CA"/>
        </w:rPr>
        <w:t xml:space="preserve">es pratiques de gestion durable, ainsi </w:t>
      </w:r>
      <w:r w:rsidRPr="00B00234">
        <w:rPr>
          <w:lang w:val="fr-CA"/>
        </w:rPr>
        <w:t xml:space="preserve">que les interactions entre les humains et la vie sauvage </w:t>
      </w:r>
      <w:r w:rsidR="00A77B38" w:rsidRPr="00B00234">
        <w:rPr>
          <w:lang w:val="fr-CA"/>
        </w:rPr>
        <w:t>dans s</w:t>
      </w:r>
      <w:r w:rsidRPr="00B00234">
        <w:rPr>
          <w:lang w:val="fr-CA"/>
        </w:rPr>
        <w:t xml:space="preserve">a </w:t>
      </w:r>
      <w:r w:rsidR="00A77B38" w:rsidRPr="00B00234">
        <w:rPr>
          <w:lang w:val="fr-CA"/>
        </w:rPr>
        <w:t>C</w:t>
      </w:r>
      <w:r w:rsidRPr="00B00234">
        <w:rPr>
          <w:lang w:val="fr-CA"/>
        </w:rPr>
        <w:t xml:space="preserve">ible 4, et met en évidence la gestion et l’utilisation durables des espèces sauvages </w:t>
      </w:r>
      <w:r w:rsidR="00A77B38" w:rsidRPr="00B00234">
        <w:rPr>
          <w:lang w:val="fr-CA"/>
        </w:rPr>
        <w:t>dans la</w:t>
      </w:r>
      <w:r w:rsidRPr="00B00234">
        <w:rPr>
          <w:lang w:val="fr-CA"/>
        </w:rPr>
        <w:t xml:space="preserve"> cible 9. La mise en œuvre de ces cibles</w:t>
      </w:r>
      <w:r w:rsidR="00E46C0C" w:rsidRPr="00B00234">
        <w:rPr>
          <w:lang w:val="fr-CA"/>
        </w:rPr>
        <w:t xml:space="preserve"> </w:t>
      </w:r>
      <w:r w:rsidR="008362F0" w:rsidRPr="00B00234">
        <w:rPr>
          <w:lang w:val="fr-CA"/>
        </w:rPr>
        <w:t>prendra appui sur la mi</w:t>
      </w:r>
      <w:r w:rsidR="00E46C0C" w:rsidRPr="00B00234">
        <w:rPr>
          <w:lang w:val="fr-CA"/>
        </w:rPr>
        <w:t>s</w:t>
      </w:r>
      <w:r w:rsidR="008362F0" w:rsidRPr="00B00234">
        <w:rPr>
          <w:lang w:val="fr-CA"/>
        </w:rPr>
        <w:t>e en œuvre des Objectifs d’Aichi pour la biodiversité 1, 3, 6, 7 et 18 du Plan stratégique 2011-2020 pour la diversité biologique</w:t>
      </w:r>
      <w:r w:rsidR="00124477" w:rsidRPr="00B00234">
        <w:rPr>
          <w:szCs w:val="22"/>
          <w:lang w:val="fr-CA"/>
        </w:rPr>
        <w:t>.</w:t>
      </w:r>
    </w:p>
    <w:p w14:paraId="233FD6BD" w14:textId="238456D5" w:rsidR="00341403" w:rsidRPr="00B00234" w:rsidRDefault="000311A7" w:rsidP="00341403">
      <w:pPr>
        <w:pStyle w:val="Titre1"/>
        <w:shd w:val="clear" w:color="auto" w:fill="FFFFFF"/>
        <w:spacing w:before="300" w:after="150"/>
        <w:rPr>
          <w:rFonts w:cs="Times New Roman"/>
          <w:b w:val="0"/>
          <w:bCs w:val="0"/>
          <w:color w:val="333333"/>
          <w:szCs w:val="28"/>
          <w:lang w:val="fr-CA"/>
        </w:rPr>
      </w:pPr>
      <w:r w:rsidRPr="00B00234">
        <w:rPr>
          <w:rFonts w:cs="Times New Roman"/>
          <w:szCs w:val="28"/>
          <w:lang w:val="fr-CA"/>
        </w:rPr>
        <w:t>Principales conclusions de l’évaluation</w:t>
      </w:r>
    </w:p>
    <w:p w14:paraId="489FFDED" w14:textId="154326A3" w:rsidR="007D3E33" w:rsidRPr="00B00234" w:rsidRDefault="000311A7" w:rsidP="007676DF">
      <w:pPr>
        <w:pStyle w:val="Para1"/>
        <w:rPr>
          <w:lang w:val="fr-CA"/>
        </w:rPr>
      </w:pPr>
      <w:r w:rsidRPr="00B00234">
        <w:rPr>
          <w:lang w:val="fr-CA"/>
        </w:rPr>
        <w:t>L’Évaluation de l’utilisation dur</w:t>
      </w:r>
      <w:r w:rsidR="00E46C0C" w:rsidRPr="00B00234">
        <w:rPr>
          <w:lang w:val="fr-CA"/>
        </w:rPr>
        <w:t>able des espèces sauvages et son sommaire pour les décideurs ont été approuvés p</w:t>
      </w:r>
      <w:r w:rsidRPr="00B00234">
        <w:rPr>
          <w:lang w:val="fr-CA"/>
        </w:rPr>
        <w:t>ar la plénière de l’IPBES à sa neuvième session, qui a eu lie</w:t>
      </w:r>
      <w:r w:rsidR="00E46C0C" w:rsidRPr="00B00234">
        <w:rPr>
          <w:lang w:val="fr-CA"/>
        </w:rPr>
        <w:t>u du 2 au 9 juillet </w:t>
      </w:r>
      <w:r w:rsidRPr="00B00234">
        <w:rPr>
          <w:lang w:val="fr-CA"/>
        </w:rPr>
        <w:t>2022. Pour obtenir un aper</w:t>
      </w:r>
      <w:r w:rsidR="00B00234">
        <w:rPr>
          <w:lang w:val="fr-CA"/>
        </w:rPr>
        <w:t>ç</w:t>
      </w:r>
      <w:r w:rsidRPr="00B00234">
        <w:rPr>
          <w:lang w:val="fr-CA"/>
        </w:rPr>
        <w:t>u complet de l’évaluation, consultez l</w:t>
      </w:r>
      <w:r w:rsidR="00E46C0C" w:rsidRPr="00B00234">
        <w:rPr>
          <w:lang w:val="fr-CA"/>
        </w:rPr>
        <w:t xml:space="preserve">e </w:t>
      </w:r>
      <w:r w:rsidR="0098559D" w:rsidRPr="00B00234">
        <w:rPr>
          <w:lang w:val="fr-CA"/>
        </w:rPr>
        <w:t xml:space="preserve">Sommaire pour les décideurs du rapport d’évaluation de l’utilisation durable des espèces sauvages, publié en ligne </w:t>
      </w:r>
      <w:r w:rsidRPr="00B00234">
        <w:rPr>
          <w:lang w:val="fr-CA"/>
        </w:rPr>
        <w:t>dans les six langues officielles des Nations Unies</w:t>
      </w:r>
      <w:r w:rsidR="00012D71" w:rsidRPr="00B00234">
        <w:rPr>
          <w:lang w:val="fr-CA"/>
        </w:rPr>
        <w:t>.</w:t>
      </w:r>
      <w:r w:rsidR="007676DF" w:rsidRPr="00B00234">
        <w:rPr>
          <w:rStyle w:val="Appelnotedebasdep"/>
          <w:lang w:val="en-GB"/>
        </w:rPr>
        <w:footnoteReference w:id="4"/>
      </w:r>
    </w:p>
    <w:p w14:paraId="3CD24EB0" w14:textId="53342B9D" w:rsidR="00F51593" w:rsidRPr="00B00234" w:rsidRDefault="00453531" w:rsidP="002F4513">
      <w:pPr>
        <w:pStyle w:val="Para1"/>
        <w:rPr>
          <w:lang w:val="fr-CA"/>
        </w:rPr>
      </w:pPr>
      <w:r w:rsidRPr="00B00234">
        <w:rPr>
          <w:lang w:val="fr-CA"/>
        </w:rPr>
        <w:t xml:space="preserve">Cette évaluation de l’IPBES a pour but de recenser les différentes méthodes pouvant servir à améliorer la durabilité de l’utilisation des espèces sauvages, de repérer les difficultés et les occasions </w:t>
      </w:r>
      <w:r w:rsidR="0098559D" w:rsidRPr="00B00234">
        <w:rPr>
          <w:lang w:val="fr-CA"/>
        </w:rPr>
        <w:t>que comportent</w:t>
      </w:r>
      <w:r w:rsidRPr="00B00234">
        <w:rPr>
          <w:lang w:val="fr-CA"/>
        </w:rPr>
        <w:t xml:space="preserve"> ces méthodes et de réduire et décourager les utilisations non durables des esp</w:t>
      </w:r>
      <w:r w:rsidR="00523655" w:rsidRPr="00B00234">
        <w:rPr>
          <w:lang w:val="fr-CA"/>
        </w:rPr>
        <w:t xml:space="preserve">èces sauvages. Elle a aussi pour but de renforcer les pratiques, les mesures, les capacités et les méthodes de conservation </w:t>
      </w:r>
      <w:r w:rsidR="007264CA">
        <w:rPr>
          <w:lang w:val="fr-CA"/>
        </w:rPr>
        <w:t>associées à</w:t>
      </w:r>
      <w:r w:rsidR="00523655" w:rsidRPr="00B00234">
        <w:rPr>
          <w:lang w:val="fr-CA"/>
        </w:rPr>
        <w:t xml:space="preserve"> l’utilisation des espèces sauvages. Les principales conclusions de l’évaluation sont résumées ci-dessous.</w:t>
      </w:r>
    </w:p>
    <w:p w14:paraId="59D6CD76" w14:textId="453958A0" w:rsidR="00241ABF" w:rsidRPr="00B00234" w:rsidRDefault="0098559D" w:rsidP="002F4513">
      <w:pPr>
        <w:pStyle w:val="Para1"/>
        <w:rPr>
          <w:lang w:val="fr-CA"/>
        </w:rPr>
      </w:pPr>
      <w:r w:rsidRPr="00B00234">
        <w:rPr>
          <w:lang w:val="fr-CA"/>
        </w:rPr>
        <w:t>La situation actuelle</w:t>
      </w:r>
      <w:r w:rsidR="00523655" w:rsidRPr="00B00234">
        <w:rPr>
          <w:lang w:val="fr-CA"/>
        </w:rPr>
        <w:t xml:space="preserve"> et les tendances dans l’utilisation des espèces sauvages varient selon le type et l’échelle d’utilisation, de même que </w:t>
      </w:r>
      <w:r w:rsidR="00E259F4" w:rsidRPr="00B00234">
        <w:rPr>
          <w:lang w:val="fr-CA"/>
        </w:rPr>
        <w:t>les contextes socioécologiques.</w:t>
      </w:r>
      <w:r w:rsidR="00D96122" w:rsidRPr="00B00234">
        <w:rPr>
          <w:lang w:val="fr-CA"/>
        </w:rPr>
        <w:t xml:space="preserve"> </w:t>
      </w:r>
      <w:r w:rsidR="00E259F4" w:rsidRPr="00B00234">
        <w:rPr>
          <w:lang w:val="fr-CA"/>
        </w:rPr>
        <w:t>Cet aspect de l’évaluation est abordé en détail dans le document</w:t>
      </w:r>
      <w:r w:rsidR="007676DF" w:rsidRPr="00B00234">
        <w:rPr>
          <w:lang w:val="fr-CA"/>
        </w:rPr>
        <w:t xml:space="preserve"> CBD/SBSTTA/25/11</w:t>
      </w:r>
      <w:r w:rsidR="00241ABF" w:rsidRPr="00B00234">
        <w:rPr>
          <w:lang w:val="fr-CA"/>
        </w:rPr>
        <w:t>.</w:t>
      </w:r>
    </w:p>
    <w:p w14:paraId="71FE696D" w14:textId="137A0738" w:rsidR="0074252D" w:rsidRPr="00B00234" w:rsidRDefault="00E259F4" w:rsidP="00016597">
      <w:pPr>
        <w:pStyle w:val="Para1"/>
        <w:rPr>
          <w:lang w:val="fr-CA"/>
        </w:rPr>
      </w:pPr>
      <w:r w:rsidRPr="00B00234">
        <w:rPr>
          <w:lang w:val="fr-CA"/>
        </w:rPr>
        <w:t xml:space="preserve">Des milliards de personnes </w:t>
      </w:r>
      <w:r w:rsidR="00D96122" w:rsidRPr="00B00234">
        <w:rPr>
          <w:lang w:val="fr-CA"/>
        </w:rPr>
        <w:t>partout au monde</w:t>
      </w:r>
      <w:r w:rsidRPr="00B00234">
        <w:rPr>
          <w:lang w:val="fr-CA"/>
        </w:rPr>
        <w:t xml:space="preserve"> comptent sur l’utilisation des espèces sauvages et en tirent profit. L’utilisation d’environ 50 000 espèces sauvages aquatiques et terrestre</w:t>
      </w:r>
      <w:r w:rsidR="00D96122" w:rsidRPr="00B00234">
        <w:rPr>
          <w:lang w:val="fr-CA"/>
        </w:rPr>
        <w:t>s</w:t>
      </w:r>
      <w:r w:rsidRPr="00B00234">
        <w:rPr>
          <w:lang w:val="fr-CA"/>
        </w:rPr>
        <w:t xml:space="preserve"> à des fins </w:t>
      </w:r>
      <w:r w:rsidR="00D96122" w:rsidRPr="00B00234">
        <w:rPr>
          <w:lang w:val="fr-CA"/>
        </w:rPr>
        <w:t>alimentaires</w:t>
      </w:r>
      <w:r w:rsidRPr="00B00234">
        <w:rPr>
          <w:lang w:val="fr-CA"/>
        </w:rPr>
        <w:t xml:space="preserve">, </w:t>
      </w:r>
      <w:r w:rsidR="00D96122" w:rsidRPr="00B00234">
        <w:rPr>
          <w:lang w:val="fr-CA"/>
        </w:rPr>
        <w:t>médicinales</w:t>
      </w:r>
      <w:r w:rsidRPr="00B00234">
        <w:rPr>
          <w:lang w:val="fr-CA"/>
        </w:rPr>
        <w:t xml:space="preserve">, </w:t>
      </w:r>
      <w:r w:rsidR="00D96122" w:rsidRPr="00B00234">
        <w:rPr>
          <w:lang w:val="fr-CA"/>
        </w:rPr>
        <w:t>énergétique</w:t>
      </w:r>
      <w:r w:rsidR="007264CA">
        <w:rPr>
          <w:lang w:val="fr-CA"/>
        </w:rPr>
        <w:t>s</w:t>
      </w:r>
      <w:r w:rsidRPr="00B00234">
        <w:rPr>
          <w:lang w:val="fr-CA"/>
        </w:rPr>
        <w:t xml:space="preserve">, </w:t>
      </w:r>
      <w:r w:rsidR="00D96122" w:rsidRPr="00B00234">
        <w:rPr>
          <w:lang w:val="fr-CA"/>
        </w:rPr>
        <w:t>matérielles</w:t>
      </w:r>
      <w:r w:rsidRPr="00B00234">
        <w:rPr>
          <w:lang w:val="fr-CA"/>
        </w:rPr>
        <w:t xml:space="preserve"> et éducatives, entre autres, est documentée</w:t>
      </w:r>
      <w:r w:rsidR="006508F0" w:rsidRPr="00B00234">
        <w:rPr>
          <w:lang w:val="fr-CA"/>
        </w:rPr>
        <w:t>.</w:t>
      </w:r>
    </w:p>
    <w:p w14:paraId="0A3819BE" w14:textId="7E9BF435" w:rsidR="00AD2913" w:rsidRPr="00B00234" w:rsidRDefault="00E259F4" w:rsidP="00016597">
      <w:pPr>
        <w:pStyle w:val="Para1"/>
        <w:rPr>
          <w:lang w:val="fr-CA"/>
        </w:rPr>
      </w:pPr>
      <w:r w:rsidRPr="00B00234">
        <w:rPr>
          <w:lang w:val="fr-CA"/>
        </w:rPr>
        <w:lastRenderedPageBreak/>
        <w:t xml:space="preserve">Les espèces sauvages sont des sources importantes de </w:t>
      </w:r>
      <w:r w:rsidR="00A561D6" w:rsidRPr="00B00234">
        <w:rPr>
          <w:lang w:val="fr-CA"/>
        </w:rPr>
        <w:t>ressources de subsistance et de revenu. Les personnes en situation de vulnérabilité, surtout les femmes, les enfants et les cultiv</w:t>
      </w:r>
      <w:r w:rsidR="00D96122" w:rsidRPr="00B00234">
        <w:rPr>
          <w:lang w:val="fr-CA"/>
        </w:rPr>
        <w:t>a</w:t>
      </w:r>
      <w:r w:rsidR="00B00234">
        <w:rPr>
          <w:lang w:val="fr-CA"/>
        </w:rPr>
        <w:t>t</w:t>
      </w:r>
      <w:r w:rsidR="00D96122" w:rsidRPr="00B00234">
        <w:rPr>
          <w:lang w:val="fr-CA"/>
        </w:rPr>
        <w:t xml:space="preserve">eurs sans terre, sont celles </w:t>
      </w:r>
      <w:r w:rsidR="00A561D6" w:rsidRPr="00B00234">
        <w:rPr>
          <w:lang w:val="fr-CA"/>
        </w:rPr>
        <w:t xml:space="preserve">qui </w:t>
      </w:r>
      <w:r w:rsidR="00D96122" w:rsidRPr="00B00234">
        <w:rPr>
          <w:lang w:val="fr-CA"/>
        </w:rPr>
        <w:t>dépend</w:t>
      </w:r>
      <w:r w:rsidR="007264CA">
        <w:rPr>
          <w:lang w:val="fr-CA"/>
        </w:rPr>
        <w:t>ent</w:t>
      </w:r>
      <w:r w:rsidR="00A561D6" w:rsidRPr="00B00234">
        <w:rPr>
          <w:lang w:val="fr-CA"/>
        </w:rPr>
        <w:t xml:space="preserve"> le plus </w:t>
      </w:r>
      <w:r w:rsidR="00D96122" w:rsidRPr="00B00234">
        <w:rPr>
          <w:lang w:val="fr-CA"/>
        </w:rPr>
        <w:t>des</w:t>
      </w:r>
      <w:r w:rsidR="00A561D6" w:rsidRPr="00B00234">
        <w:rPr>
          <w:lang w:val="fr-CA"/>
        </w:rPr>
        <w:t xml:space="preserve"> espèces sauvages et les plus susceptibles de tirer profit d’une utilisation plus durable des espèces sauvages afin d’assurer leur subsistance</w:t>
      </w:r>
      <w:r w:rsidR="00AD2913" w:rsidRPr="00B00234">
        <w:rPr>
          <w:lang w:val="fr-CA"/>
        </w:rPr>
        <w:t>.</w:t>
      </w:r>
    </w:p>
    <w:p w14:paraId="02C5089A" w14:textId="40B055CA" w:rsidR="751841BB" w:rsidRPr="00B00234" w:rsidRDefault="00A561D6" w:rsidP="00016597">
      <w:pPr>
        <w:pStyle w:val="Para1"/>
        <w:rPr>
          <w:lang w:val="fr-CA"/>
        </w:rPr>
      </w:pPr>
      <w:r w:rsidRPr="00B00234">
        <w:rPr>
          <w:lang w:val="fr-CA"/>
        </w:rPr>
        <w:t xml:space="preserve">L’utilisation des espèces sauvages </w:t>
      </w:r>
      <w:r w:rsidR="00150CFE" w:rsidRPr="00B00234">
        <w:rPr>
          <w:lang w:val="fr-CA"/>
        </w:rPr>
        <w:t>aide à subvenir aux</w:t>
      </w:r>
      <w:r w:rsidRPr="00B00234">
        <w:rPr>
          <w:lang w:val="fr-CA"/>
        </w:rPr>
        <w:t xml:space="preserve"> besoins de base </w:t>
      </w:r>
      <w:r w:rsidR="00150CFE" w:rsidRPr="00B00234">
        <w:rPr>
          <w:lang w:val="fr-CA"/>
        </w:rPr>
        <w:t>des gens partout au mo</w:t>
      </w:r>
      <w:r w:rsidRPr="00B00234">
        <w:rPr>
          <w:lang w:val="fr-CA"/>
        </w:rPr>
        <w:t xml:space="preserve">nde et contribue à la réalisation des Objectifs de développement durable. </w:t>
      </w:r>
      <w:r w:rsidR="00B834AA" w:rsidRPr="00B00234">
        <w:rPr>
          <w:lang w:val="fr-CA"/>
        </w:rPr>
        <w:t>Les mesures pour garantir et encourager l’utilisation durable des espèces sauvages peuvent contribuer à la réalisation de plusieurs ODD, dont les objectifs 1, 2, 6 à 10 et 13 à 15</w:t>
      </w:r>
      <w:r w:rsidR="00E305A3" w:rsidRPr="00B00234">
        <w:rPr>
          <w:lang w:val="fr-CA"/>
        </w:rPr>
        <w:t>.</w:t>
      </w:r>
    </w:p>
    <w:p w14:paraId="681F07E0" w14:textId="7812B17D" w:rsidR="23C3CB80" w:rsidRPr="00B00234" w:rsidRDefault="00150CFE" w:rsidP="00E613F4">
      <w:pPr>
        <w:pStyle w:val="Para1"/>
        <w:rPr>
          <w:lang w:val="fr-CA"/>
        </w:rPr>
      </w:pPr>
      <w:r w:rsidRPr="00B00234">
        <w:rPr>
          <w:lang w:val="fr-CA"/>
        </w:rPr>
        <w:t>L’utilisation durable des espè</w:t>
      </w:r>
      <w:r w:rsidR="00B834AA" w:rsidRPr="00B00234">
        <w:rPr>
          <w:lang w:val="fr-CA"/>
        </w:rPr>
        <w:t xml:space="preserve">ces sauvages est au cœur de l’identité, des manifestations culturelles et de la subsistance de plusieurs peuples autochtones et communautés locales. </w:t>
      </w:r>
      <w:r w:rsidR="00B834AA" w:rsidRPr="003378B8">
        <w:rPr>
          <w:lang w:val="fr-CA"/>
        </w:rPr>
        <w:t xml:space="preserve">De plus, les peuples autochtones gèrent plus de 38 millions de km² de terres dans 87 pays. </w:t>
      </w:r>
      <w:r w:rsidR="00B834AA" w:rsidRPr="00B00234">
        <w:rPr>
          <w:lang w:val="fr-CA"/>
        </w:rPr>
        <w:t xml:space="preserve">Cette </w:t>
      </w:r>
      <w:r w:rsidRPr="00B00234">
        <w:rPr>
          <w:lang w:val="fr-CA"/>
        </w:rPr>
        <w:t>superficie</w:t>
      </w:r>
      <w:r w:rsidR="00B834AA" w:rsidRPr="00B00234">
        <w:rPr>
          <w:lang w:val="fr-CA"/>
        </w:rPr>
        <w:t xml:space="preserve"> correspond à environ 40 pour cent de toutes les ai</w:t>
      </w:r>
      <w:r w:rsidR="00E613F4" w:rsidRPr="00B00234">
        <w:rPr>
          <w:lang w:val="fr-CA"/>
        </w:rPr>
        <w:t>r</w:t>
      </w:r>
      <w:r w:rsidR="00B834AA" w:rsidRPr="00B00234">
        <w:rPr>
          <w:lang w:val="fr-CA"/>
        </w:rPr>
        <w:t xml:space="preserve">es protégées terrestres, dont plusieurs ayant une valeur élevée pour la diversité biologique. </w:t>
      </w:r>
      <w:r w:rsidR="00E613F4" w:rsidRPr="00B00234">
        <w:rPr>
          <w:lang w:val="fr-CA"/>
        </w:rPr>
        <w:t xml:space="preserve">Plusieurs facteurs limitent la capacité des peuples autochtones et </w:t>
      </w:r>
      <w:r w:rsidRPr="00B00234">
        <w:rPr>
          <w:lang w:val="fr-CA"/>
        </w:rPr>
        <w:t>des</w:t>
      </w:r>
      <w:r w:rsidR="00E613F4" w:rsidRPr="00B00234">
        <w:rPr>
          <w:lang w:val="fr-CA"/>
        </w:rPr>
        <w:t xml:space="preserve"> communautés locales à maintenir et à rétablir les pratiques associées à l’utilisation durable des espèces sauvages, dont </w:t>
      </w:r>
      <w:r w:rsidR="00902E83">
        <w:rPr>
          <w:lang w:val="fr-CA"/>
        </w:rPr>
        <w:t>la non</w:t>
      </w:r>
      <w:r w:rsidR="00E613F4" w:rsidRPr="00B00234">
        <w:rPr>
          <w:lang w:val="fr-CA"/>
        </w:rPr>
        <w:t xml:space="preserve"> mise en </w:t>
      </w:r>
      <w:r w:rsidR="00E34596" w:rsidRPr="00B00234">
        <w:rPr>
          <w:lang w:val="fr-CA"/>
        </w:rPr>
        <w:t xml:space="preserve">œuvre </w:t>
      </w:r>
      <w:r w:rsidR="00E613F4" w:rsidRPr="00B00234">
        <w:rPr>
          <w:lang w:val="fr-CA"/>
        </w:rPr>
        <w:t>des instruments interna</w:t>
      </w:r>
      <w:r w:rsidR="00E34596" w:rsidRPr="00B00234">
        <w:rPr>
          <w:lang w:val="fr-CA"/>
        </w:rPr>
        <w:t>tionaux par le biais de politiqu</w:t>
      </w:r>
      <w:r w:rsidR="00E613F4" w:rsidRPr="00B00234">
        <w:rPr>
          <w:lang w:val="fr-CA"/>
        </w:rPr>
        <w:t>es nationales et l’absence de données et d’indicateurs pour suivre les progrès</w:t>
      </w:r>
      <w:r w:rsidR="00E34596" w:rsidRPr="00B00234">
        <w:rPr>
          <w:lang w:val="fr-CA"/>
        </w:rPr>
        <w:t xml:space="preserve"> à cet égard</w:t>
      </w:r>
      <w:r w:rsidR="00A41B8E" w:rsidRPr="00B00234">
        <w:rPr>
          <w:lang w:val="fr-CA"/>
        </w:rPr>
        <w:t>.</w:t>
      </w:r>
    </w:p>
    <w:p w14:paraId="4DE6EF55" w14:textId="4B75B9F2" w:rsidR="23C3CB80" w:rsidRPr="00B00234" w:rsidRDefault="002311EF" w:rsidP="00016597">
      <w:pPr>
        <w:pStyle w:val="Para1"/>
        <w:rPr>
          <w:lang w:val="fr-CA"/>
        </w:rPr>
      </w:pPr>
      <w:r w:rsidRPr="00B00234">
        <w:rPr>
          <w:lang w:val="fr-CA"/>
        </w:rPr>
        <w:t>Le passage d’une utilisation non durable à une utilisation durable des espèces sauvages est également essentiel à la conservation de la diver</w:t>
      </w:r>
      <w:r w:rsidR="00E34596" w:rsidRPr="00B00234">
        <w:rPr>
          <w:lang w:val="fr-CA"/>
        </w:rPr>
        <w:t>sité biologique, car la surexpl</w:t>
      </w:r>
      <w:r w:rsidRPr="00B00234">
        <w:rPr>
          <w:lang w:val="fr-CA"/>
        </w:rPr>
        <w:t>oitation demeure une des principales menaces qui pèsent sur plusieurs espèces sauvages. Les systèmes de gestion efficace</w:t>
      </w:r>
      <w:r w:rsidR="00E34596" w:rsidRPr="00B00234">
        <w:rPr>
          <w:lang w:val="fr-CA"/>
        </w:rPr>
        <w:t>s</w:t>
      </w:r>
      <w:r w:rsidRPr="00B00234">
        <w:rPr>
          <w:lang w:val="fr-CA"/>
        </w:rPr>
        <w:t xml:space="preserve"> qui encouragent l’utilisation durable des espèces sauv</w:t>
      </w:r>
      <w:r w:rsidR="00E34596" w:rsidRPr="00B00234">
        <w:rPr>
          <w:lang w:val="fr-CA"/>
        </w:rPr>
        <w:t>ages peuvent aussi contribuer a</w:t>
      </w:r>
      <w:r w:rsidRPr="00B00234">
        <w:rPr>
          <w:lang w:val="fr-CA"/>
        </w:rPr>
        <w:t>ux grands objectifs de conservation. Par exemple, les utilisations pour la chasse, la pêche et le tourisme peuv</w:t>
      </w:r>
      <w:r w:rsidR="00E34596" w:rsidRPr="00B00234">
        <w:rPr>
          <w:lang w:val="fr-CA"/>
        </w:rPr>
        <w:t>ent constituer une importa</w:t>
      </w:r>
      <w:r w:rsidRPr="00B00234">
        <w:rPr>
          <w:lang w:val="fr-CA"/>
        </w:rPr>
        <w:t>nte so</w:t>
      </w:r>
      <w:r w:rsidR="00E34596" w:rsidRPr="00B00234">
        <w:rPr>
          <w:lang w:val="fr-CA"/>
        </w:rPr>
        <w:t>u</w:t>
      </w:r>
      <w:r w:rsidRPr="00B00234">
        <w:rPr>
          <w:lang w:val="fr-CA"/>
        </w:rPr>
        <w:t>rce de financement de la g</w:t>
      </w:r>
      <w:r w:rsidR="00E34596" w:rsidRPr="00B00234">
        <w:rPr>
          <w:lang w:val="fr-CA"/>
        </w:rPr>
        <w:t>estion des aires protégées et po</w:t>
      </w:r>
      <w:r w:rsidRPr="00B00234">
        <w:rPr>
          <w:lang w:val="fr-CA"/>
        </w:rPr>
        <w:t>ur les agences de conservat</w:t>
      </w:r>
      <w:r w:rsidR="00E34596" w:rsidRPr="00B00234">
        <w:rPr>
          <w:lang w:val="fr-CA"/>
        </w:rPr>
        <w:t>ion. À l’inverse, les experts o</w:t>
      </w:r>
      <w:r w:rsidRPr="00B00234">
        <w:rPr>
          <w:lang w:val="fr-CA"/>
        </w:rPr>
        <w:t>nt constaté que l’absence d’institutions efficaces, de réglementations et d’exécution peut avoir des incidences négatives sur la diversité biologique</w:t>
      </w:r>
      <w:r w:rsidR="23C3CB80" w:rsidRPr="00B00234">
        <w:rPr>
          <w:lang w:val="fr-CA"/>
        </w:rPr>
        <w:t>.</w:t>
      </w:r>
    </w:p>
    <w:p w14:paraId="4AFA6A49" w14:textId="15C8D8B7" w:rsidR="00E305A3" w:rsidRPr="00B00234" w:rsidRDefault="001112BA" w:rsidP="00016597">
      <w:pPr>
        <w:pStyle w:val="Para1"/>
        <w:rPr>
          <w:lang w:val="fr-CA"/>
        </w:rPr>
      </w:pPr>
      <w:r w:rsidRPr="00B00234">
        <w:rPr>
          <w:lang w:val="fr-CA"/>
        </w:rPr>
        <w:t>Il est donc es</w:t>
      </w:r>
      <w:r w:rsidR="00E34596" w:rsidRPr="00B00234">
        <w:rPr>
          <w:lang w:val="fr-CA"/>
        </w:rPr>
        <w:t>sentiel de garantir et d’accroî</w:t>
      </w:r>
      <w:r w:rsidRPr="00B00234">
        <w:rPr>
          <w:lang w:val="fr-CA"/>
        </w:rPr>
        <w:t>tre l’utilisation durable des espèces sauvages pour le bien-être hum</w:t>
      </w:r>
      <w:r w:rsidR="00E34596" w:rsidRPr="00B00234">
        <w:rPr>
          <w:lang w:val="fr-CA"/>
        </w:rPr>
        <w:t>ain et la conservation de la bi</w:t>
      </w:r>
      <w:r w:rsidRPr="00B00234">
        <w:rPr>
          <w:lang w:val="fr-CA"/>
        </w:rPr>
        <w:t>odiversité</w:t>
      </w:r>
      <w:r w:rsidR="00E305A3" w:rsidRPr="00B00234">
        <w:rPr>
          <w:lang w:val="fr-CA"/>
        </w:rPr>
        <w:t>.</w:t>
      </w:r>
    </w:p>
    <w:p w14:paraId="51E7F6BE" w14:textId="414B4E00" w:rsidR="00E305A3" w:rsidRPr="00B00234" w:rsidRDefault="001112BA" w:rsidP="00016597">
      <w:pPr>
        <w:pStyle w:val="Para1"/>
        <w:rPr>
          <w:lang w:val="fr-CA"/>
        </w:rPr>
      </w:pPr>
      <w:r w:rsidRPr="00B00234">
        <w:rPr>
          <w:lang w:val="fr-CA"/>
        </w:rPr>
        <w:t xml:space="preserve">L’utilisation des espèces sauvages est </w:t>
      </w:r>
      <w:r w:rsidR="000D7617" w:rsidRPr="00B00234">
        <w:rPr>
          <w:lang w:val="fr-CA"/>
        </w:rPr>
        <w:t>à la hausse</w:t>
      </w:r>
      <w:r w:rsidRPr="00B00234">
        <w:rPr>
          <w:lang w:val="fr-CA"/>
        </w:rPr>
        <w:t xml:space="preserve"> à l’échelle mondiale, mais la durabilité de ces utilisations varie </w:t>
      </w:r>
      <w:r w:rsidR="000D7617" w:rsidRPr="00B00234">
        <w:rPr>
          <w:lang w:val="fr-CA"/>
        </w:rPr>
        <w:t>selon les contextes sociaux</w:t>
      </w:r>
      <w:r w:rsidRPr="00B00234">
        <w:rPr>
          <w:lang w:val="fr-CA"/>
        </w:rPr>
        <w:t xml:space="preserve"> et écologique</w:t>
      </w:r>
      <w:r w:rsidR="000D7617" w:rsidRPr="00B00234">
        <w:rPr>
          <w:lang w:val="fr-CA"/>
        </w:rPr>
        <w:t>s</w:t>
      </w:r>
      <w:r w:rsidRPr="00B00234">
        <w:rPr>
          <w:lang w:val="fr-CA"/>
        </w:rPr>
        <w:t>. Environ 34 pour cent des stocks de poissons sa</w:t>
      </w:r>
      <w:r w:rsidR="00602185" w:rsidRPr="00B00234">
        <w:rPr>
          <w:lang w:val="fr-CA"/>
        </w:rPr>
        <w:t>u</w:t>
      </w:r>
      <w:r w:rsidRPr="00B00234">
        <w:rPr>
          <w:lang w:val="fr-CA"/>
        </w:rPr>
        <w:t xml:space="preserve">vages </w:t>
      </w:r>
      <w:r w:rsidR="00602185" w:rsidRPr="00B00234">
        <w:rPr>
          <w:lang w:val="fr-CA"/>
        </w:rPr>
        <w:t>marins sont</w:t>
      </w:r>
      <w:r w:rsidRPr="00B00234">
        <w:rPr>
          <w:lang w:val="fr-CA"/>
        </w:rPr>
        <w:t xml:space="preserve"> surexploités</w:t>
      </w:r>
      <w:r w:rsidR="000D7617" w:rsidRPr="00B00234">
        <w:rPr>
          <w:lang w:val="fr-CA"/>
        </w:rPr>
        <w:t>, tandis que 66 po</w:t>
      </w:r>
      <w:r w:rsidR="00602185" w:rsidRPr="00B00234">
        <w:rPr>
          <w:lang w:val="fr-CA"/>
        </w:rPr>
        <w:t xml:space="preserve">ur cent font l’objet d’une pêche durable du point de vue biologique. Cette image de la </w:t>
      </w:r>
      <w:r w:rsidR="000D7617" w:rsidRPr="00B00234">
        <w:rPr>
          <w:lang w:val="fr-CA"/>
        </w:rPr>
        <w:t>situation</w:t>
      </w:r>
      <w:r w:rsidR="00602185" w:rsidRPr="00B00234">
        <w:rPr>
          <w:lang w:val="fr-CA"/>
        </w:rPr>
        <w:t xml:space="preserve"> mondiale cache toutefois des hétérogénéités. Les populations mondiales de plusieurs animaux </w:t>
      </w:r>
      <w:r w:rsidR="000D7617" w:rsidRPr="00B00234">
        <w:rPr>
          <w:lang w:val="fr-CA"/>
        </w:rPr>
        <w:t>terrestres sont en déclin à cau</w:t>
      </w:r>
      <w:r w:rsidR="00602185" w:rsidRPr="00B00234">
        <w:rPr>
          <w:lang w:val="fr-CA"/>
        </w:rPr>
        <w:t xml:space="preserve">se d’une </w:t>
      </w:r>
      <w:r w:rsidR="000D7617" w:rsidRPr="00B00234">
        <w:rPr>
          <w:lang w:val="fr-CA"/>
        </w:rPr>
        <w:t>utilisation</w:t>
      </w:r>
      <w:r w:rsidR="00602185" w:rsidRPr="00B00234">
        <w:rPr>
          <w:lang w:val="fr-CA"/>
        </w:rPr>
        <w:t xml:space="preserve"> non durab</w:t>
      </w:r>
      <w:r w:rsidR="000D7617" w:rsidRPr="00B00234">
        <w:rPr>
          <w:lang w:val="fr-CA"/>
        </w:rPr>
        <w:t>le, mais les conséquences de l’</w:t>
      </w:r>
      <w:r w:rsidR="00602185" w:rsidRPr="00B00234">
        <w:rPr>
          <w:lang w:val="fr-CA"/>
        </w:rPr>
        <w:t>utilisation sur les espèces sauvages et la société peuvent être neut</w:t>
      </w:r>
      <w:r w:rsidR="000D7617" w:rsidRPr="00B00234">
        <w:rPr>
          <w:lang w:val="fr-CA"/>
        </w:rPr>
        <w:t>res ou po</w:t>
      </w:r>
      <w:r w:rsidR="00602185" w:rsidRPr="00B00234">
        <w:rPr>
          <w:lang w:val="fr-CA"/>
        </w:rPr>
        <w:t xml:space="preserve">sitives dans certains endroits. Par contre, les pratiques </w:t>
      </w:r>
      <w:r w:rsidR="00440FEA" w:rsidRPr="00B00234">
        <w:rPr>
          <w:lang w:val="fr-CA"/>
        </w:rPr>
        <w:t>de déboisement</w:t>
      </w:r>
      <w:r w:rsidR="00602185" w:rsidRPr="00B00234">
        <w:rPr>
          <w:lang w:val="fr-CA"/>
        </w:rPr>
        <w:t xml:space="preserve"> destructrices et l’exploitation forestière illégale menacent l’utilisation</w:t>
      </w:r>
      <w:r w:rsidR="00290676" w:rsidRPr="00B00234">
        <w:rPr>
          <w:lang w:val="fr-CA"/>
        </w:rPr>
        <w:t xml:space="preserve"> durable </w:t>
      </w:r>
      <w:r w:rsidR="00440FEA" w:rsidRPr="00B00234">
        <w:rPr>
          <w:lang w:val="fr-CA"/>
        </w:rPr>
        <w:t>des</w:t>
      </w:r>
      <w:r w:rsidR="00B00234">
        <w:rPr>
          <w:lang w:val="fr-CA"/>
        </w:rPr>
        <w:t xml:space="preserve"> forê</w:t>
      </w:r>
      <w:r w:rsidR="00290676" w:rsidRPr="00B00234">
        <w:rPr>
          <w:lang w:val="fr-CA"/>
        </w:rPr>
        <w:t>ts naturelles</w:t>
      </w:r>
      <w:r w:rsidR="00E305A3" w:rsidRPr="00B00234">
        <w:rPr>
          <w:lang w:val="fr-CA"/>
        </w:rPr>
        <w:t>.</w:t>
      </w:r>
    </w:p>
    <w:p w14:paraId="2E121856" w14:textId="00FC3A55" w:rsidR="00C25320" w:rsidRPr="00B00234" w:rsidRDefault="00290676" w:rsidP="00016597">
      <w:pPr>
        <w:pStyle w:val="Para1"/>
        <w:rPr>
          <w:lang w:val="fr-CA"/>
        </w:rPr>
      </w:pPr>
      <w:r w:rsidRPr="00B00234">
        <w:rPr>
          <w:lang w:val="fr-CA"/>
        </w:rPr>
        <w:t>Les moteurs environnementaux, tels que les</w:t>
      </w:r>
      <w:r w:rsidR="00440FEA" w:rsidRPr="00B00234">
        <w:rPr>
          <w:lang w:val="fr-CA"/>
        </w:rPr>
        <w:t xml:space="preserve"> changements climatiques, la po</w:t>
      </w:r>
      <w:r w:rsidRPr="00B00234">
        <w:rPr>
          <w:lang w:val="fr-CA"/>
        </w:rPr>
        <w:t>llution et les espèces exotiques envahissant</w:t>
      </w:r>
      <w:r w:rsidR="00440FEA" w:rsidRPr="00B00234">
        <w:rPr>
          <w:lang w:val="fr-CA"/>
        </w:rPr>
        <w:t>es, ont des répercussions sur l</w:t>
      </w:r>
      <w:r w:rsidRPr="00B00234">
        <w:rPr>
          <w:lang w:val="fr-CA"/>
        </w:rPr>
        <w:t>’abondance et la répartition des espèces sauvages, et leur utilisation par les peuples autochtones et les communautés locales</w:t>
      </w:r>
      <w:r w:rsidR="00C25320" w:rsidRPr="00B00234">
        <w:rPr>
          <w:lang w:val="fr-CA"/>
        </w:rPr>
        <w:t>.</w:t>
      </w:r>
    </w:p>
    <w:p w14:paraId="51F47CF5" w14:textId="5B6244CD" w:rsidR="23C3CB80" w:rsidRPr="00B00234" w:rsidRDefault="00290676" w:rsidP="00016597">
      <w:pPr>
        <w:pStyle w:val="Para1"/>
        <w:rPr>
          <w:lang w:val="fr-CA"/>
        </w:rPr>
      </w:pPr>
      <w:r w:rsidRPr="00B00234">
        <w:rPr>
          <w:lang w:val="fr-CA"/>
        </w:rPr>
        <w:t xml:space="preserve">Le commerce mondial des espèces sauvages a connu une croissance considérable au cours des </w:t>
      </w:r>
      <w:r w:rsidR="00440FEA" w:rsidRPr="00B00234">
        <w:rPr>
          <w:lang w:val="fr-CA"/>
        </w:rPr>
        <w:t>quarante</w:t>
      </w:r>
      <w:r w:rsidRPr="00B00234">
        <w:rPr>
          <w:lang w:val="fr-CA"/>
        </w:rPr>
        <w:t xml:space="preserve"> dernières années. L’absence de réglementations efficaces pour gérer la chaîne d’approvisionnement augmente généraleme</w:t>
      </w:r>
      <w:r w:rsidR="00B00234">
        <w:rPr>
          <w:lang w:val="fr-CA"/>
        </w:rPr>
        <w:t>n</w:t>
      </w:r>
      <w:r w:rsidRPr="00B00234">
        <w:rPr>
          <w:lang w:val="fr-CA"/>
        </w:rPr>
        <w:t xml:space="preserve">t la pression et les </w:t>
      </w:r>
      <w:r w:rsidR="00440FEA" w:rsidRPr="00B00234">
        <w:rPr>
          <w:lang w:val="fr-CA"/>
        </w:rPr>
        <w:t>conséquences</w:t>
      </w:r>
      <w:r w:rsidRPr="00B00234">
        <w:rPr>
          <w:lang w:val="fr-CA"/>
        </w:rPr>
        <w:t xml:space="preserve"> d’une utilisation non durable et parfois, la population sauvage </w:t>
      </w:r>
      <w:r w:rsidR="00440FEA" w:rsidRPr="00B00234">
        <w:rPr>
          <w:lang w:val="fr-CA"/>
        </w:rPr>
        <w:t>s’effondre</w:t>
      </w:r>
      <w:r w:rsidRPr="00B00234">
        <w:rPr>
          <w:lang w:val="fr-CA"/>
        </w:rPr>
        <w:t xml:space="preserve">. Le commerce international est aussi reconnu comme une source grandissante d’introduction d’espèces exotiques envahissantes. </w:t>
      </w:r>
      <w:r w:rsidR="00B1335E" w:rsidRPr="00B00234">
        <w:rPr>
          <w:lang w:val="fr-CA"/>
        </w:rPr>
        <w:t>Le</w:t>
      </w:r>
      <w:r w:rsidRPr="00B00234">
        <w:rPr>
          <w:lang w:val="fr-CA"/>
        </w:rPr>
        <w:t xml:space="preserve"> commerce illicite d’espèces sauvages repré</w:t>
      </w:r>
      <w:r w:rsidR="00B00234">
        <w:rPr>
          <w:lang w:val="fr-CA"/>
        </w:rPr>
        <w:t>s</w:t>
      </w:r>
      <w:r w:rsidRPr="00B00234">
        <w:rPr>
          <w:lang w:val="fr-CA"/>
        </w:rPr>
        <w:t>ente le troisième type de commerce illicite en importance et es</w:t>
      </w:r>
      <w:r w:rsidR="00B1335E" w:rsidRPr="00B00234">
        <w:rPr>
          <w:lang w:val="fr-CA"/>
        </w:rPr>
        <w:t>t souvent associé aux injustic</w:t>
      </w:r>
      <w:r w:rsidRPr="00B00234">
        <w:rPr>
          <w:lang w:val="fr-CA"/>
        </w:rPr>
        <w:t>es sociales e</w:t>
      </w:r>
      <w:r w:rsidR="00B1335E" w:rsidRPr="00B00234">
        <w:rPr>
          <w:lang w:val="fr-CA"/>
        </w:rPr>
        <w:t>t à la présence de réseaux criminels</w:t>
      </w:r>
      <w:r w:rsidR="23C3CB80" w:rsidRPr="00B00234">
        <w:rPr>
          <w:lang w:val="fr-CA"/>
        </w:rPr>
        <w:t>.</w:t>
      </w:r>
    </w:p>
    <w:p w14:paraId="1B006B40" w14:textId="7D8093DD" w:rsidR="23C3CB80" w:rsidRPr="00B00234" w:rsidRDefault="00B1335E" w:rsidP="00016597">
      <w:pPr>
        <w:pStyle w:val="Para1"/>
        <w:rPr>
          <w:lang w:val="fr-CA"/>
        </w:rPr>
      </w:pPr>
      <w:r w:rsidRPr="00B00234">
        <w:rPr>
          <w:lang w:val="fr-CA"/>
        </w:rPr>
        <w:t>Les conflits, dont les conflits armés, peuvent avoir des incidences importantes sur l’utilisation durable. Plusieurs enjeux importants</w:t>
      </w:r>
      <w:r w:rsidR="00FD6EDF" w:rsidRPr="00B00234">
        <w:rPr>
          <w:lang w:val="fr-CA"/>
        </w:rPr>
        <w:t>,</w:t>
      </w:r>
      <w:r w:rsidRPr="00B00234">
        <w:rPr>
          <w:lang w:val="fr-CA"/>
        </w:rPr>
        <w:t xml:space="preserve"> tels que la migration et l’établissement des</w:t>
      </w:r>
      <w:r w:rsidR="00FD6EDF" w:rsidRPr="00B00234">
        <w:rPr>
          <w:lang w:val="fr-CA"/>
        </w:rPr>
        <w:t xml:space="preserve"> populations</w:t>
      </w:r>
      <w:r w:rsidRPr="00B00234">
        <w:rPr>
          <w:lang w:val="fr-CA"/>
        </w:rPr>
        <w:t xml:space="preserve"> d</w:t>
      </w:r>
      <w:r w:rsidR="00FD6EDF" w:rsidRPr="00B00234">
        <w:rPr>
          <w:lang w:val="fr-CA"/>
        </w:rPr>
        <w:t>é</w:t>
      </w:r>
      <w:r w:rsidRPr="00B00234">
        <w:rPr>
          <w:lang w:val="fr-CA"/>
        </w:rPr>
        <w:t>placées, la surexploitation des e</w:t>
      </w:r>
      <w:r w:rsidR="00B00234">
        <w:rPr>
          <w:lang w:val="fr-CA"/>
        </w:rPr>
        <w:t>s</w:t>
      </w:r>
      <w:r w:rsidRPr="00B00234">
        <w:rPr>
          <w:lang w:val="fr-CA"/>
        </w:rPr>
        <w:t xml:space="preserve">pèces par les forcées armées, le dérangement des structures institutionnelles et des procédés régissant les espèces sauvages et </w:t>
      </w:r>
      <w:r w:rsidR="007F0388" w:rsidRPr="00B00234">
        <w:rPr>
          <w:lang w:val="fr-CA"/>
        </w:rPr>
        <w:t>la perturbation des économies</w:t>
      </w:r>
      <w:r w:rsidR="00FD6EDF" w:rsidRPr="00B00234">
        <w:rPr>
          <w:lang w:val="fr-CA"/>
        </w:rPr>
        <w:t>, peuvent entraîner une utilisation non durable</w:t>
      </w:r>
      <w:r w:rsidR="23C3CB80" w:rsidRPr="00B00234">
        <w:rPr>
          <w:lang w:val="fr-CA"/>
        </w:rPr>
        <w:t>.</w:t>
      </w:r>
    </w:p>
    <w:p w14:paraId="25C6F6E8" w14:textId="407A6725" w:rsidR="267A011D" w:rsidRPr="00B00234" w:rsidRDefault="007F0388" w:rsidP="00016597">
      <w:pPr>
        <w:pStyle w:val="Para1"/>
        <w:rPr>
          <w:lang w:val="fr-CA"/>
        </w:rPr>
      </w:pPr>
      <w:r w:rsidRPr="00B00234">
        <w:rPr>
          <w:lang w:val="fr-CA"/>
        </w:rPr>
        <w:lastRenderedPageBreak/>
        <w:t xml:space="preserve">La culture, dont la langue, </w:t>
      </w:r>
      <w:r w:rsidR="00FD6EDF" w:rsidRPr="00B00234">
        <w:rPr>
          <w:lang w:val="fr-CA"/>
        </w:rPr>
        <w:t>le</w:t>
      </w:r>
      <w:r w:rsidRPr="00B00234">
        <w:rPr>
          <w:lang w:val="fr-CA"/>
        </w:rPr>
        <w:t xml:space="preserve"> </w:t>
      </w:r>
      <w:r w:rsidR="00FD6EDF" w:rsidRPr="00B00234">
        <w:rPr>
          <w:lang w:val="fr-CA"/>
        </w:rPr>
        <w:t>savoir</w:t>
      </w:r>
      <w:r w:rsidRPr="00B00234">
        <w:rPr>
          <w:lang w:val="fr-CA"/>
        </w:rPr>
        <w:t>, la religion, les habitudes alimentaires, les valeurs et les philosophies, influencent les interactions entre les populations et les espèces sauvages. La culture est dynamique, et les mesures telles que l’édu</w:t>
      </w:r>
      <w:r w:rsidR="00FD6EDF" w:rsidRPr="00B00234">
        <w:rPr>
          <w:lang w:val="fr-CA"/>
        </w:rPr>
        <w:t>c</w:t>
      </w:r>
      <w:r w:rsidR="00B00234">
        <w:rPr>
          <w:lang w:val="fr-CA"/>
        </w:rPr>
        <w:t>ation et la</w:t>
      </w:r>
      <w:r w:rsidRPr="00B00234">
        <w:rPr>
          <w:lang w:val="fr-CA"/>
        </w:rPr>
        <w:t xml:space="preserve"> sensib</w:t>
      </w:r>
      <w:r w:rsidR="00B00234">
        <w:rPr>
          <w:lang w:val="fr-CA"/>
        </w:rPr>
        <w:t>i</w:t>
      </w:r>
      <w:r w:rsidRPr="00B00234">
        <w:rPr>
          <w:lang w:val="fr-CA"/>
        </w:rPr>
        <w:t>lisation peuvent aboutir à des utilisations plus durables des espèces sauvages. Par contre, l’éducation, l</w:t>
      </w:r>
      <w:r w:rsidR="00B00234">
        <w:rPr>
          <w:lang w:val="fr-CA"/>
        </w:rPr>
        <w:t>a</w:t>
      </w:r>
      <w:r w:rsidRPr="00B00234">
        <w:rPr>
          <w:lang w:val="fr-CA"/>
        </w:rPr>
        <w:t xml:space="preserve"> communication et la sensibilisation du public ne sont pas considérées comme des solutions de politique</w:t>
      </w:r>
      <w:r w:rsidR="267A011D" w:rsidRPr="00B00234">
        <w:rPr>
          <w:lang w:val="fr-CA"/>
        </w:rPr>
        <w:t>.</w:t>
      </w:r>
    </w:p>
    <w:p w14:paraId="686DED02" w14:textId="1DB98828" w:rsidR="00864A82" w:rsidRPr="00B00234" w:rsidRDefault="007F0388" w:rsidP="00016597">
      <w:pPr>
        <w:pStyle w:val="Para1"/>
        <w:rPr>
          <w:lang w:val="fr-CA"/>
        </w:rPr>
      </w:pPr>
      <w:r w:rsidRPr="00B00234">
        <w:rPr>
          <w:lang w:val="fr-CA"/>
        </w:rPr>
        <w:t>Une gouvernance, des institutions et des politiques efficaces peuvent toutefo</w:t>
      </w:r>
      <w:r w:rsidR="00FD6EDF" w:rsidRPr="00B00234">
        <w:rPr>
          <w:lang w:val="fr-CA"/>
        </w:rPr>
        <w:t>is encourager les dénouements po</w:t>
      </w:r>
      <w:r w:rsidRPr="00B00234">
        <w:rPr>
          <w:lang w:val="fr-CA"/>
        </w:rPr>
        <w:t>sitifs et attén</w:t>
      </w:r>
      <w:r w:rsidR="00525112" w:rsidRPr="00B00234">
        <w:rPr>
          <w:lang w:val="fr-CA"/>
        </w:rPr>
        <w:t>u</w:t>
      </w:r>
      <w:r w:rsidRPr="00B00234">
        <w:rPr>
          <w:lang w:val="fr-CA"/>
        </w:rPr>
        <w:t>er les impacts négatifs des divers moteurs</w:t>
      </w:r>
      <w:r w:rsidR="00864A82" w:rsidRPr="00B00234">
        <w:rPr>
          <w:lang w:val="fr-CA"/>
        </w:rPr>
        <w:t>.</w:t>
      </w:r>
    </w:p>
    <w:p w14:paraId="5DD28B3D" w14:textId="32D3CCE9" w:rsidR="00D34B71" w:rsidRPr="00B00234" w:rsidRDefault="00525112" w:rsidP="00016597">
      <w:pPr>
        <w:pStyle w:val="Para1"/>
        <w:rPr>
          <w:lang w:val="fr-CA"/>
        </w:rPr>
      </w:pPr>
      <w:r w:rsidRPr="00B00234">
        <w:rPr>
          <w:lang w:val="fr-CA"/>
        </w:rPr>
        <w:t xml:space="preserve">Le concept de l’utilisation durable </w:t>
      </w:r>
      <w:r w:rsidR="00FD6EDF" w:rsidRPr="00B00234">
        <w:rPr>
          <w:lang w:val="fr-CA"/>
        </w:rPr>
        <w:t>a évolué a</w:t>
      </w:r>
      <w:r w:rsidRPr="00B00234">
        <w:rPr>
          <w:lang w:val="fr-CA"/>
        </w:rPr>
        <w:t>vec le temps et au sein des différentes cultures. Les</w:t>
      </w:r>
      <w:r w:rsidR="006E24A3" w:rsidRPr="00B00234">
        <w:rPr>
          <w:lang w:val="fr-CA"/>
        </w:rPr>
        <w:t xml:space="preserve"> conceptualisations les plu</w:t>
      </w:r>
      <w:r w:rsidRPr="00B00234">
        <w:rPr>
          <w:lang w:val="fr-CA"/>
        </w:rPr>
        <w:t>s récentes tournent autour de l’idée que l’utilisation durable émane de la dynamique des systèmes s</w:t>
      </w:r>
      <w:r w:rsidR="006E24A3" w:rsidRPr="00B00234">
        <w:rPr>
          <w:lang w:val="fr-CA"/>
        </w:rPr>
        <w:t>o</w:t>
      </w:r>
      <w:r w:rsidRPr="00B00234">
        <w:rPr>
          <w:lang w:val="fr-CA"/>
        </w:rPr>
        <w:t>cioécologiques qui maintiennent la div</w:t>
      </w:r>
      <w:r w:rsidR="00B00234">
        <w:rPr>
          <w:lang w:val="fr-CA"/>
        </w:rPr>
        <w:t>e</w:t>
      </w:r>
      <w:r w:rsidRPr="00B00234">
        <w:rPr>
          <w:lang w:val="fr-CA"/>
        </w:rPr>
        <w:t>rsité biologique et les fonctions écosystémiques à long terme, tout en contribuant aux besoins et au bien-être humains</w:t>
      </w:r>
      <w:r w:rsidR="00864A82" w:rsidRPr="00B00234">
        <w:rPr>
          <w:lang w:val="fr-CA"/>
        </w:rPr>
        <w:t>.</w:t>
      </w:r>
    </w:p>
    <w:p w14:paraId="0CB08E8C" w14:textId="0268D1A7" w:rsidR="267A011D" w:rsidRPr="00B00234" w:rsidRDefault="00525112" w:rsidP="00016597">
      <w:pPr>
        <w:pStyle w:val="Para1"/>
        <w:rPr>
          <w:lang w:val="fr-CA"/>
        </w:rPr>
      </w:pPr>
      <w:r w:rsidRPr="00B00234">
        <w:rPr>
          <w:lang w:val="fr-CA"/>
        </w:rPr>
        <w:t xml:space="preserve">La durabilité de l’utilisation des </w:t>
      </w:r>
      <w:r w:rsidR="006E24A3" w:rsidRPr="00B00234">
        <w:rPr>
          <w:lang w:val="fr-CA"/>
        </w:rPr>
        <w:t>espèces sauvages devra affronter</w:t>
      </w:r>
      <w:r w:rsidRPr="00B00234">
        <w:rPr>
          <w:lang w:val="fr-CA"/>
        </w:rPr>
        <w:t xml:space="preserve"> plusieurs défis dans l’avenir, dont les changements climatiques, l’augmentation de la demande humaine et les développements technologiques. </w:t>
      </w:r>
      <w:r w:rsidR="006E24A3" w:rsidRPr="00B00234">
        <w:rPr>
          <w:lang w:val="fr-CA"/>
        </w:rPr>
        <w:t>Les scénarios de projection de l’utili</w:t>
      </w:r>
      <w:r w:rsidRPr="00B00234">
        <w:rPr>
          <w:lang w:val="fr-CA"/>
        </w:rPr>
        <w:t xml:space="preserve">sation future des espèces sauvages révèlent que les changements transformateurs intégrant </w:t>
      </w:r>
      <w:r w:rsidR="00E460AF" w:rsidRPr="00B00234">
        <w:rPr>
          <w:lang w:val="fr-CA"/>
        </w:rPr>
        <w:t xml:space="preserve">notamment </w:t>
      </w:r>
      <w:r w:rsidRPr="00B00234">
        <w:rPr>
          <w:lang w:val="fr-CA"/>
        </w:rPr>
        <w:t>des système</w:t>
      </w:r>
      <w:r w:rsidR="00E460AF" w:rsidRPr="00B00234">
        <w:rPr>
          <w:lang w:val="fr-CA"/>
        </w:rPr>
        <w:t xml:space="preserve">s de valeurs diversifiés, la répartition équitable des coûts et des </w:t>
      </w:r>
      <w:r w:rsidR="006E24A3" w:rsidRPr="00B00234">
        <w:rPr>
          <w:lang w:val="fr-CA"/>
        </w:rPr>
        <w:t>avantages</w:t>
      </w:r>
      <w:r w:rsidR="00E460AF" w:rsidRPr="00B00234">
        <w:rPr>
          <w:lang w:val="fr-CA"/>
        </w:rPr>
        <w:t>, des changements dans les valeurs sociales, des institutions et des systèmes de gouvernance efficaces, sont nécessaires afin de garantir une utilisation durable.</w:t>
      </w:r>
    </w:p>
    <w:p w14:paraId="252F73D5" w14:textId="0A3FA054" w:rsidR="00261ACC" w:rsidRPr="00B00234" w:rsidRDefault="00E460AF" w:rsidP="00016597">
      <w:pPr>
        <w:pStyle w:val="Para1"/>
        <w:rPr>
          <w:lang w:val="fr-CA"/>
        </w:rPr>
      </w:pPr>
      <w:r w:rsidRPr="00B00234">
        <w:rPr>
          <w:lang w:val="fr-CA"/>
        </w:rPr>
        <w:t>L’éva</w:t>
      </w:r>
      <w:r w:rsidR="00B00234">
        <w:rPr>
          <w:lang w:val="fr-CA"/>
        </w:rPr>
        <w:t>l</w:t>
      </w:r>
      <w:r w:rsidRPr="00B00234">
        <w:rPr>
          <w:lang w:val="fr-CA"/>
        </w:rPr>
        <w:t>uation propose une série de sept mesures de politique suggérées</w:t>
      </w:r>
      <w:r w:rsidR="006E24A3" w:rsidRPr="00B00234">
        <w:rPr>
          <w:lang w:val="fr-CA"/>
        </w:rPr>
        <w:t xml:space="preserve"> ou «</w:t>
      </w:r>
      <w:r w:rsidR="00B00234">
        <w:rPr>
          <w:lang w:val="fr-CA"/>
        </w:rPr>
        <w:t> </w:t>
      </w:r>
      <w:r w:rsidR="006E24A3" w:rsidRPr="00B00234">
        <w:rPr>
          <w:lang w:val="fr-CA"/>
        </w:rPr>
        <w:t>éléments clés »</w:t>
      </w:r>
      <w:r w:rsidRPr="00B00234">
        <w:rPr>
          <w:lang w:val="fr-CA"/>
        </w:rPr>
        <w:t>, afin de soutenir l’utilisation durable des espèces sauvages</w:t>
      </w:r>
      <w:r w:rsidR="00B00234">
        <w:rPr>
          <w:lang w:val="fr-CA"/>
        </w:rPr>
        <w:t> </w:t>
      </w:r>
      <w:r w:rsidR="007676DF" w:rsidRPr="00B00234">
        <w:rPr>
          <w:lang w:val="fr-CA"/>
        </w:rPr>
        <w:t>:</w:t>
      </w:r>
    </w:p>
    <w:p w14:paraId="6B3F927B" w14:textId="45F673E2" w:rsidR="00261ACC" w:rsidRPr="00B00234" w:rsidRDefault="00E77D3A" w:rsidP="004C55D8">
      <w:pPr>
        <w:pStyle w:val="Para1"/>
        <w:numPr>
          <w:ilvl w:val="0"/>
          <w:numId w:val="37"/>
        </w:numPr>
        <w:tabs>
          <w:tab w:val="clear" w:pos="1134"/>
        </w:tabs>
        <w:ind w:left="567" w:firstLine="491"/>
        <w:rPr>
          <w:lang w:val="fr-CA"/>
        </w:rPr>
      </w:pPr>
      <w:r w:rsidRPr="00B00234">
        <w:rPr>
          <w:lang w:val="fr-CA"/>
        </w:rPr>
        <w:t>Un processus déci</w:t>
      </w:r>
      <w:r w:rsidR="00B00234">
        <w:rPr>
          <w:lang w:val="fr-CA"/>
        </w:rPr>
        <w:t>si</w:t>
      </w:r>
      <w:r w:rsidRPr="00B00234">
        <w:rPr>
          <w:lang w:val="fr-CA"/>
        </w:rPr>
        <w:t>onnel inclusif et participatif</w:t>
      </w:r>
      <w:r w:rsidR="00B00234">
        <w:rPr>
          <w:lang w:val="fr-CA"/>
        </w:rPr>
        <w:t> </w:t>
      </w:r>
      <w:r w:rsidR="00195281" w:rsidRPr="00B00234">
        <w:rPr>
          <w:lang w:val="fr-CA"/>
        </w:rPr>
        <w:t>;</w:t>
      </w:r>
    </w:p>
    <w:p w14:paraId="739AF843" w14:textId="1EDF76FA" w:rsidR="00261ACC" w:rsidRPr="00B00234" w:rsidRDefault="00E77D3A" w:rsidP="004C55D8">
      <w:pPr>
        <w:pStyle w:val="Para1"/>
        <w:numPr>
          <w:ilvl w:val="0"/>
          <w:numId w:val="37"/>
        </w:numPr>
        <w:tabs>
          <w:tab w:val="clear" w:pos="1134"/>
        </w:tabs>
        <w:ind w:left="567" w:firstLine="491"/>
        <w:rPr>
          <w:lang w:val="fr-CA"/>
        </w:rPr>
      </w:pPr>
      <w:r w:rsidRPr="00B00234">
        <w:rPr>
          <w:lang w:val="fr-CA"/>
        </w:rPr>
        <w:t>L’intégration de plusieurs formes de savoir et de reconnaissance des droits</w:t>
      </w:r>
      <w:r w:rsidR="00B00234">
        <w:rPr>
          <w:lang w:val="fr-CA"/>
        </w:rPr>
        <w:t> </w:t>
      </w:r>
      <w:r w:rsidR="00195281" w:rsidRPr="00B00234">
        <w:rPr>
          <w:iCs/>
          <w:lang w:val="fr-CA"/>
        </w:rPr>
        <w:t>;</w:t>
      </w:r>
    </w:p>
    <w:p w14:paraId="3BCF757C" w14:textId="4F6437C6" w:rsidR="00261ACC" w:rsidRPr="00B00234" w:rsidRDefault="00E77D3A" w:rsidP="004C55D8">
      <w:pPr>
        <w:pStyle w:val="Para1"/>
        <w:numPr>
          <w:ilvl w:val="0"/>
          <w:numId w:val="37"/>
        </w:numPr>
        <w:tabs>
          <w:tab w:val="clear" w:pos="1134"/>
        </w:tabs>
        <w:ind w:left="567" w:firstLine="491"/>
        <w:rPr>
          <w:lang w:val="fr-CA"/>
        </w:rPr>
      </w:pPr>
      <w:r w:rsidRPr="00B00234">
        <w:rPr>
          <w:iCs/>
          <w:lang w:val="fr-CA"/>
        </w:rPr>
        <w:t>La répartition équitable des coûts et des avantages</w:t>
      </w:r>
      <w:r w:rsidR="00B00234">
        <w:rPr>
          <w:iCs/>
          <w:lang w:val="fr-CA"/>
        </w:rPr>
        <w:t> </w:t>
      </w:r>
      <w:r w:rsidR="00195281" w:rsidRPr="00B00234">
        <w:rPr>
          <w:lang w:val="fr-CA"/>
        </w:rPr>
        <w:t>;</w:t>
      </w:r>
    </w:p>
    <w:p w14:paraId="0E0D5CB2" w14:textId="215314FC" w:rsidR="00261ACC" w:rsidRPr="00B00234" w:rsidRDefault="00E77D3A" w:rsidP="004C55D8">
      <w:pPr>
        <w:pStyle w:val="Para1"/>
        <w:numPr>
          <w:ilvl w:val="0"/>
          <w:numId w:val="37"/>
        </w:numPr>
        <w:tabs>
          <w:tab w:val="clear" w:pos="1134"/>
        </w:tabs>
        <w:ind w:left="567" w:firstLine="491"/>
        <w:rPr>
          <w:lang w:val="fr-CA"/>
        </w:rPr>
      </w:pPr>
      <w:r w:rsidRPr="00B00234">
        <w:rPr>
          <w:lang w:val="fr-CA"/>
        </w:rPr>
        <w:t>Des politiques adaptées aux contextes sociaux et écologiques locaux</w:t>
      </w:r>
      <w:r w:rsidR="00B00234">
        <w:rPr>
          <w:lang w:val="fr-CA"/>
        </w:rPr>
        <w:t> </w:t>
      </w:r>
      <w:r w:rsidR="00195281" w:rsidRPr="00B00234">
        <w:rPr>
          <w:lang w:val="fr-CA"/>
        </w:rPr>
        <w:t>;</w:t>
      </w:r>
    </w:p>
    <w:p w14:paraId="553B7413" w14:textId="6A0AF8CF" w:rsidR="00261ACC" w:rsidRPr="00B00234" w:rsidRDefault="00E77D3A" w:rsidP="004C55D8">
      <w:pPr>
        <w:pStyle w:val="Para1"/>
        <w:numPr>
          <w:ilvl w:val="0"/>
          <w:numId w:val="37"/>
        </w:numPr>
        <w:tabs>
          <w:tab w:val="clear" w:pos="1134"/>
        </w:tabs>
        <w:ind w:left="567" w:firstLine="491"/>
        <w:rPr>
          <w:lang w:val="fr-CA"/>
        </w:rPr>
      </w:pPr>
      <w:r w:rsidRPr="00B00234">
        <w:rPr>
          <w:lang w:val="fr-CA"/>
        </w:rPr>
        <w:t>La surveillance</w:t>
      </w:r>
      <w:r w:rsidR="00CB4C7E" w:rsidRPr="00B00234">
        <w:rPr>
          <w:lang w:val="fr-CA"/>
        </w:rPr>
        <w:t xml:space="preserve"> des conditions et pratiques sociales et écologiques locales</w:t>
      </w:r>
      <w:r w:rsidR="00B00234">
        <w:rPr>
          <w:lang w:val="fr-CA"/>
        </w:rPr>
        <w:t> </w:t>
      </w:r>
      <w:r w:rsidR="00195281" w:rsidRPr="00B00234">
        <w:rPr>
          <w:lang w:val="fr-CA"/>
        </w:rPr>
        <w:t>;</w:t>
      </w:r>
    </w:p>
    <w:p w14:paraId="18662E7A" w14:textId="65171AE6" w:rsidR="00261ACC" w:rsidRPr="00B00234" w:rsidRDefault="00CB4C7E" w:rsidP="004C55D8">
      <w:pPr>
        <w:pStyle w:val="Para1"/>
        <w:numPr>
          <w:ilvl w:val="0"/>
          <w:numId w:val="37"/>
        </w:numPr>
        <w:tabs>
          <w:tab w:val="clear" w:pos="1134"/>
        </w:tabs>
        <w:ind w:left="567" w:firstLine="491"/>
        <w:rPr>
          <w:lang w:val="fr-CA"/>
        </w:rPr>
      </w:pPr>
      <w:r w:rsidRPr="00B00234">
        <w:rPr>
          <w:lang w:val="fr-CA"/>
        </w:rPr>
        <w:t>Des politiques coordonnées et harmonisées</w:t>
      </w:r>
      <w:r w:rsidR="00B00234">
        <w:rPr>
          <w:lang w:val="fr-CA"/>
        </w:rPr>
        <w:t> </w:t>
      </w:r>
      <w:r w:rsidR="00195281" w:rsidRPr="00B00234">
        <w:rPr>
          <w:lang w:val="fr-CA"/>
        </w:rPr>
        <w:t>;</w:t>
      </w:r>
    </w:p>
    <w:p w14:paraId="5A7B388F" w14:textId="0CD5CC67" w:rsidR="43FB5FDF" w:rsidRPr="00B00234" w:rsidRDefault="00CB4C7E" w:rsidP="004C55D8">
      <w:pPr>
        <w:pStyle w:val="Para1"/>
        <w:numPr>
          <w:ilvl w:val="0"/>
          <w:numId w:val="37"/>
        </w:numPr>
        <w:tabs>
          <w:tab w:val="clear" w:pos="1134"/>
        </w:tabs>
        <w:ind w:left="567" w:firstLine="491"/>
        <w:rPr>
          <w:lang w:val="fr-CA"/>
        </w:rPr>
      </w:pPr>
      <w:r w:rsidRPr="00B00234">
        <w:rPr>
          <w:lang w:val="fr-CA"/>
        </w:rPr>
        <w:t>Des institutions robustes, de coutumières et à obligatoires</w:t>
      </w:r>
      <w:r w:rsidR="0079193D" w:rsidRPr="00B00234">
        <w:rPr>
          <w:lang w:val="fr-CA"/>
        </w:rPr>
        <w:t>.</w:t>
      </w:r>
    </w:p>
    <w:p w14:paraId="57916D76" w14:textId="1AC88CDF" w:rsidR="0E7BD0FA" w:rsidRPr="00B00234" w:rsidRDefault="00CB4C7E" w:rsidP="004C55D8">
      <w:pPr>
        <w:pStyle w:val="Para1"/>
        <w:rPr>
          <w:szCs w:val="22"/>
          <w:lang w:val="fr-CA"/>
        </w:rPr>
      </w:pPr>
      <w:r w:rsidRPr="00B00234">
        <w:rPr>
          <w:lang w:val="fr-CA"/>
        </w:rPr>
        <w:t>L’utilisation durab</w:t>
      </w:r>
      <w:r w:rsidR="006E24A3" w:rsidRPr="00B00234">
        <w:rPr>
          <w:lang w:val="fr-CA"/>
        </w:rPr>
        <w:t>le des espèces sauvages implique égalemen</w:t>
      </w:r>
      <w:r w:rsidRPr="00B00234">
        <w:rPr>
          <w:lang w:val="fr-CA"/>
        </w:rPr>
        <w:t>t un changement transformateur de la perception et de la conceptualisation de la nat</w:t>
      </w:r>
      <w:r w:rsidR="00957DC7" w:rsidRPr="00B00234">
        <w:rPr>
          <w:lang w:val="fr-CA"/>
        </w:rPr>
        <w:t>ure, délaissant le dualisme n</w:t>
      </w:r>
      <w:r w:rsidR="00B00234">
        <w:rPr>
          <w:lang w:val="fr-CA"/>
        </w:rPr>
        <w:t>a</w:t>
      </w:r>
      <w:r w:rsidRPr="00B00234">
        <w:rPr>
          <w:lang w:val="fr-CA"/>
        </w:rPr>
        <w:t xml:space="preserve">ture-humain </w:t>
      </w:r>
      <w:r w:rsidR="00957DC7" w:rsidRPr="00B00234">
        <w:rPr>
          <w:lang w:val="fr-CA"/>
        </w:rPr>
        <w:t>pour</w:t>
      </w:r>
      <w:r w:rsidRPr="00B00234">
        <w:rPr>
          <w:lang w:val="fr-CA"/>
        </w:rPr>
        <w:t xml:space="preserve"> une vision plus systémique de l’humanité en tant qu’élément intégral de la nature</w:t>
      </w:r>
      <w:r w:rsidR="43FB5FDF" w:rsidRPr="00B00234">
        <w:rPr>
          <w:lang w:val="fr-CA"/>
        </w:rPr>
        <w:t>.</w:t>
      </w:r>
    </w:p>
    <w:p w14:paraId="29D9ABCE" w14:textId="426FE7F5" w:rsidR="00D51A61" w:rsidRPr="00B00234" w:rsidRDefault="00E67555" w:rsidP="004C55D8">
      <w:pPr>
        <w:pStyle w:val="Titre1"/>
        <w:rPr>
          <w:rFonts w:cs="Times New Roman"/>
          <w:lang w:val="fr-CA"/>
        </w:rPr>
      </w:pPr>
      <w:r w:rsidRPr="00B00234">
        <w:rPr>
          <w:rFonts w:cs="Times New Roman"/>
          <w:lang w:val="fr-CA"/>
        </w:rPr>
        <w:t xml:space="preserve">Conséquences de l’évaluation pour les travaux </w:t>
      </w:r>
      <w:r w:rsidR="00957DC7" w:rsidRPr="00B00234">
        <w:rPr>
          <w:rFonts w:cs="Times New Roman"/>
          <w:lang w:val="fr-CA"/>
        </w:rPr>
        <w:t>menés</w:t>
      </w:r>
      <w:r w:rsidRPr="00B00234">
        <w:rPr>
          <w:rFonts w:cs="Times New Roman"/>
          <w:lang w:val="fr-CA"/>
        </w:rPr>
        <w:t xml:space="preserve"> au titre de la Convention</w:t>
      </w:r>
    </w:p>
    <w:p w14:paraId="6907D0B1" w14:textId="388F316B" w:rsidR="00E516C3" w:rsidRPr="00B00234" w:rsidRDefault="00E20DE9" w:rsidP="00363BFF">
      <w:pPr>
        <w:pStyle w:val="Para1"/>
        <w:tabs>
          <w:tab w:val="clear" w:pos="1134"/>
          <w:tab w:val="left" w:pos="1170"/>
        </w:tabs>
        <w:ind w:left="540"/>
        <w:rPr>
          <w:lang w:val="fr-CA"/>
        </w:rPr>
      </w:pPr>
      <w:r w:rsidRPr="00B00234">
        <w:rPr>
          <w:lang w:val="fr-CA"/>
        </w:rPr>
        <w:t>Les principaux messages d</w:t>
      </w:r>
      <w:r w:rsidR="00957DC7" w:rsidRPr="00B00234">
        <w:rPr>
          <w:lang w:val="fr-CA"/>
        </w:rPr>
        <w:t>e l</w:t>
      </w:r>
      <w:r w:rsidR="00363BFF" w:rsidRPr="00B00234">
        <w:rPr>
          <w:lang w:val="fr-CA"/>
        </w:rPr>
        <w:t>’</w:t>
      </w:r>
      <w:r w:rsidR="00957DC7" w:rsidRPr="00B00234">
        <w:rPr>
          <w:lang w:val="fr-CA"/>
        </w:rPr>
        <w:t>évaluation soulignent que l</w:t>
      </w:r>
      <w:r w:rsidRPr="00B00234">
        <w:rPr>
          <w:lang w:val="fr-CA"/>
        </w:rPr>
        <w:t>’utilisation durable des espèces sauvages est essent</w:t>
      </w:r>
      <w:r w:rsidR="00957DC7" w:rsidRPr="00B00234">
        <w:rPr>
          <w:lang w:val="fr-CA"/>
        </w:rPr>
        <w:t>ielle pour les po</w:t>
      </w:r>
      <w:r w:rsidRPr="00B00234">
        <w:rPr>
          <w:lang w:val="fr-CA"/>
        </w:rPr>
        <w:t>pulations et la nature. Des milliards de personnes, en particulier celles qui vivent dans des</w:t>
      </w:r>
      <w:r w:rsidR="00957DC7" w:rsidRPr="00B00234">
        <w:rPr>
          <w:lang w:val="fr-CA"/>
        </w:rPr>
        <w:t xml:space="preserve"> conditions vulnérables, dépende</w:t>
      </w:r>
      <w:r w:rsidRPr="00B00234">
        <w:rPr>
          <w:lang w:val="fr-CA"/>
        </w:rPr>
        <w:t>nt de l’utilisation des espèces sauvages. Ce qui précède confirme le besoin de changements transformateurs dans la participation de l’ensemble de la société, comme indiqué dans la p</w:t>
      </w:r>
      <w:r w:rsidR="00957DC7" w:rsidRPr="00B00234">
        <w:rPr>
          <w:lang w:val="fr-CA"/>
        </w:rPr>
        <w:t>a</w:t>
      </w:r>
      <w:r w:rsidRPr="00B00234">
        <w:rPr>
          <w:lang w:val="fr-CA"/>
        </w:rPr>
        <w:t>rtie B</w:t>
      </w:r>
      <w:r w:rsidR="00957DC7" w:rsidRPr="00B00234">
        <w:rPr>
          <w:lang w:val="fr-CA"/>
        </w:rPr>
        <w:t xml:space="preserve"> (objet)</w:t>
      </w:r>
      <w:r w:rsidRPr="00B00234">
        <w:rPr>
          <w:lang w:val="fr-CA"/>
        </w:rPr>
        <w:t xml:space="preserve"> du Cadre</w:t>
      </w:r>
      <w:r w:rsidR="6620FBAA" w:rsidRPr="00B00234">
        <w:rPr>
          <w:lang w:val="fr-CA"/>
        </w:rPr>
        <w:t>.</w:t>
      </w:r>
    </w:p>
    <w:p w14:paraId="567FE34A" w14:textId="1AD10129" w:rsidR="009118FB" w:rsidRPr="00B00234" w:rsidRDefault="00E20DE9" w:rsidP="00016597">
      <w:pPr>
        <w:pStyle w:val="Para1"/>
        <w:rPr>
          <w:lang w:val="fr-CA"/>
        </w:rPr>
      </w:pPr>
      <w:r w:rsidRPr="00B00234">
        <w:rPr>
          <w:lang w:val="fr-CA"/>
        </w:rPr>
        <w:t xml:space="preserve">L’évaluation repose sur les </w:t>
      </w:r>
      <w:r w:rsidR="00363BFF" w:rsidRPr="00B00234">
        <w:rPr>
          <w:lang w:val="fr-CA"/>
        </w:rPr>
        <w:t>P</w:t>
      </w:r>
      <w:r w:rsidRPr="00B00234">
        <w:rPr>
          <w:lang w:val="fr-CA"/>
        </w:rPr>
        <w:t>ri</w:t>
      </w:r>
      <w:r w:rsidR="00363BFF" w:rsidRPr="00B00234">
        <w:rPr>
          <w:lang w:val="fr-CA"/>
        </w:rPr>
        <w:t>ncipes et lignes directrices d’A</w:t>
      </w:r>
      <w:r w:rsidRPr="00B00234">
        <w:rPr>
          <w:lang w:val="fr-CA"/>
        </w:rPr>
        <w:t>ddis-Abeb</w:t>
      </w:r>
      <w:r w:rsidR="00F7141E" w:rsidRPr="00B00234">
        <w:rPr>
          <w:lang w:val="fr-CA"/>
        </w:rPr>
        <w:t>a</w:t>
      </w:r>
      <w:r w:rsidR="00363BFF" w:rsidRPr="00B00234">
        <w:rPr>
          <w:lang w:val="fr-CA"/>
        </w:rPr>
        <w:t>. Elle</w:t>
      </w:r>
      <w:r w:rsidR="00F7141E" w:rsidRPr="00B00234">
        <w:rPr>
          <w:lang w:val="fr-CA"/>
        </w:rPr>
        <w:t xml:space="preserve"> propose sept </w:t>
      </w:r>
      <w:r w:rsidR="00363BFF" w:rsidRPr="00B00234">
        <w:rPr>
          <w:lang w:val="fr-CA"/>
        </w:rPr>
        <w:t>él</w:t>
      </w:r>
      <w:r w:rsidRPr="00B00234">
        <w:rPr>
          <w:lang w:val="fr-CA"/>
        </w:rPr>
        <w:t xml:space="preserve">éments </w:t>
      </w:r>
      <w:r w:rsidR="00363BFF" w:rsidRPr="00B00234">
        <w:rPr>
          <w:lang w:val="fr-CA"/>
        </w:rPr>
        <w:t xml:space="preserve">clés </w:t>
      </w:r>
      <w:r w:rsidRPr="00B00234">
        <w:rPr>
          <w:lang w:val="fr-CA"/>
        </w:rPr>
        <w:t>(voir le paragra</w:t>
      </w:r>
      <w:r w:rsidR="00B00234">
        <w:rPr>
          <w:lang w:val="fr-CA"/>
        </w:rPr>
        <w:t>p</w:t>
      </w:r>
      <w:r w:rsidRPr="00B00234">
        <w:rPr>
          <w:lang w:val="fr-CA"/>
        </w:rPr>
        <w:t>he 24, ci-dessus) pouvant servir de leviers de changement pour promouvoir et améliorer l’utilisation durable des espèces sauvages</w:t>
      </w:r>
      <w:r w:rsidR="005C0D52" w:rsidRPr="00B00234">
        <w:rPr>
          <w:lang w:val="fr-CA"/>
        </w:rPr>
        <w:t>.</w:t>
      </w:r>
    </w:p>
    <w:p w14:paraId="6610F3C7" w14:textId="5A228C40" w:rsidR="00CA268A" w:rsidRPr="00B00234" w:rsidRDefault="00F7141E">
      <w:pPr>
        <w:pStyle w:val="Para1"/>
        <w:rPr>
          <w:bCs/>
          <w:lang w:val="fr-CA"/>
        </w:rPr>
      </w:pPr>
      <w:r w:rsidRPr="00B00234">
        <w:rPr>
          <w:lang w:val="fr-CA"/>
        </w:rPr>
        <w:t>L’évaluation est très pertinente à la réalisation des objectifs de la Convention, ses programmes de tr</w:t>
      </w:r>
      <w:r w:rsidR="00363BFF" w:rsidRPr="00B00234">
        <w:rPr>
          <w:lang w:val="fr-CA"/>
        </w:rPr>
        <w:t>a</w:t>
      </w:r>
      <w:r w:rsidRPr="00B00234">
        <w:rPr>
          <w:lang w:val="fr-CA"/>
        </w:rPr>
        <w:t>vail et les objectifs et cibles du Cadre. L’information qu’elle contient soutient l’harmonisation des politiques, l’élaboration d’indicateurs et la mise à jou</w:t>
      </w:r>
      <w:r w:rsidR="000F339C" w:rsidRPr="00B00234">
        <w:rPr>
          <w:lang w:val="fr-CA"/>
        </w:rPr>
        <w:t>r des stratégies et plans d’acti</w:t>
      </w:r>
      <w:r w:rsidRPr="00B00234">
        <w:rPr>
          <w:lang w:val="fr-CA"/>
        </w:rPr>
        <w:t xml:space="preserve">on nationaux pour la biodiversité. L’évaluation fournit </w:t>
      </w:r>
      <w:r w:rsidR="000F339C" w:rsidRPr="00B00234">
        <w:rPr>
          <w:lang w:val="fr-CA"/>
        </w:rPr>
        <w:t>des renseignements importants</w:t>
      </w:r>
      <w:r w:rsidRPr="00B00234">
        <w:rPr>
          <w:lang w:val="fr-CA"/>
        </w:rPr>
        <w:t xml:space="preserve">, notamment en ce qui </w:t>
      </w:r>
      <w:r w:rsidRPr="00B00234">
        <w:rPr>
          <w:lang w:val="fr-CA"/>
        </w:rPr>
        <w:lastRenderedPageBreak/>
        <w:t>concerne l’état et les tendances dans l’utilisation des espèces sauvages</w:t>
      </w:r>
      <w:r w:rsidR="000F339C" w:rsidRPr="00B00234">
        <w:rPr>
          <w:lang w:val="fr-CA"/>
        </w:rPr>
        <w:t>,</w:t>
      </w:r>
      <w:r w:rsidRPr="00B00234">
        <w:rPr>
          <w:lang w:val="fr-CA"/>
        </w:rPr>
        <w:t xml:space="preserve"> qui peu</w:t>
      </w:r>
      <w:r w:rsidR="000F339C" w:rsidRPr="00B00234">
        <w:rPr>
          <w:lang w:val="fr-CA"/>
        </w:rPr>
        <w:t>ven</w:t>
      </w:r>
      <w:r w:rsidRPr="00B00234">
        <w:rPr>
          <w:lang w:val="fr-CA"/>
        </w:rPr>
        <w:t>t servir de base pour la mise en œuvre des politiques et la prise de décisions, les recommandations pour le développement et la mise en œuvre de politiques</w:t>
      </w:r>
      <w:r w:rsidR="000F339C" w:rsidRPr="00B00234">
        <w:rPr>
          <w:lang w:val="fr-CA"/>
        </w:rPr>
        <w:t>,</w:t>
      </w:r>
      <w:r w:rsidRPr="00B00234">
        <w:rPr>
          <w:lang w:val="fr-CA"/>
        </w:rPr>
        <w:t xml:space="preserve"> et </w:t>
      </w:r>
      <w:r w:rsidR="000F339C" w:rsidRPr="00B00234">
        <w:rPr>
          <w:lang w:val="fr-CA"/>
        </w:rPr>
        <w:t>un aperçu</w:t>
      </w:r>
      <w:r w:rsidRPr="00B00234">
        <w:rPr>
          <w:lang w:val="fr-CA"/>
        </w:rPr>
        <w:t xml:space="preserve"> des futurs défis qui guettent l’utilisation durable des espèces sauvages</w:t>
      </w:r>
      <w:r w:rsidR="00334669" w:rsidRPr="00B00234">
        <w:rPr>
          <w:lang w:val="fr-CA"/>
        </w:rPr>
        <w:t>.</w:t>
      </w:r>
    </w:p>
    <w:p w14:paraId="2281F308" w14:textId="65366E5A" w:rsidR="002B0FEF" w:rsidRPr="00B00234" w:rsidRDefault="00F7141E" w:rsidP="002B0FEF">
      <w:pPr>
        <w:pStyle w:val="Para1"/>
        <w:rPr>
          <w:lang w:val="fr-CA"/>
        </w:rPr>
      </w:pPr>
      <w:r w:rsidRPr="00B00234">
        <w:rPr>
          <w:lang w:val="fr-CA"/>
        </w:rPr>
        <w:t>En réponse à la demande formulée par la Conférence des Parties à la Convention dans sa décision 15/23 et puisant dans les conc</w:t>
      </w:r>
      <w:r w:rsidR="005E69E8" w:rsidRPr="00B00234">
        <w:rPr>
          <w:lang w:val="fr-CA"/>
        </w:rPr>
        <w:t>l</w:t>
      </w:r>
      <w:r w:rsidRPr="00B00234">
        <w:rPr>
          <w:lang w:val="fr-CA"/>
        </w:rPr>
        <w:t>usions de l’évaluation, l’information concernant des secteurs d’activité à l’</w:t>
      </w:r>
      <w:r w:rsidR="007F694D" w:rsidRPr="00B00234">
        <w:rPr>
          <w:lang w:val="fr-CA"/>
        </w:rPr>
        <w:t>extérieur du secteur des v</w:t>
      </w:r>
      <w:r w:rsidRPr="00B00234">
        <w:rPr>
          <w:lang w:val="fr-CA"/>
        </w:rPr>
        <w:t>iandes sauvages</w:t>
      </w:r>
      <w:r w:rsidR="005E69E8" w:rsidRPr="00B00234">
        <w:rPr>
          <w:lang w:val="fr-CA"/>
        </w:rPr>
        <w:t>,</w:t>
      </w:r>
      <w:r w:rsidRPr="00B00234">
        <w:rPr>
          <w:lang w:val="fr-CA"/>
        </w:rPr>
        <w:t xml:space="preserve"> qui</w:t>
      </w:r>
      <w:r w:rsidR="007F694D" w:rsidRPr="00B00234">
        <w:rPr>
          <w:lang w:val="fr-CA"/>
        </w:rPr>
        <w:t xml:space="preserve"> pourrait</w:t>
      </w:r>
      <w:r w:rsidRPr="00B00234">
        <w:rPr>
          <w:lang w:val="fr-CA"/>
        </w:rPr>
        <w:t xml:space="preserve"> exiger une orientation supplémentaire </w:t>
      </w:r>
      <w:r w:rsidR="007F694D" w:rsidRPr="00B00234">
        <w:rPr>
          <w:lang w:val="fr-CA"/>
        </w:rPr>
        <w:t>pour promouvoir</w:t>
      </w:r>
      <w:r w:rsidRPr="00B00234">
        <w:rPr>
          <w:lang w:val="fr-CA"/>
        </w:rPr>
        <w:t xml:space="preserve"> l’utilisation durable et </w:t>
      </w:r>
      <w:r w:rsidR="007F694D" w:rsidRPr="00B00234">
        <w:rPr>
          <w:lang w:val="fr-CA"/>
        </w:rPr>
        <w:t xml:space="preserve">éviter </w:t>
      </w:r>
      <w:r w:rsidRPr="00B00234">
        <w:rPr>
          <w:lang w:val="fr-CA"/>
        </w:rPr>
        <w:t>la surex</w:t>
      </w:r>
      <w:r w:rsidR="007F694D" w:rsidRPr="00B00234">
        <w:rPr>
          <w:lang w:val="fr-CA"/>
        </w:rPr>
        <w:t>ploitation</w:t>
      </w:r>
      <w:r w:rsidR="005E69E8" w:rsidRPr="00B00234">
        <w:rPr>
          <w:lang w:val="fr-CA"/>
        </w:rPr>
        <w:t>,</w:t>
      </w:r>
      <w:r w:rsidRPr="00B00234">
        <w:rPr>
          <w:lang w:val="fr-CA"/>
        </w:rPr>
        <w:t xml:space="preserve"> est fournie dans le document </w:t>
      </w:r>
      <w:r w:rsidR="002B0FEF" w:rsidRPr="00B00234">
        <w:rPr>
          <w:lang w:val="fr-CA"/>
        </w:rPr>
        <w:t>CBD/SBSTTA/25/11.</w:t>
      </w:r>
    </w:p>
    <w:p w14:paraId="7C146460" w14:textId="5F263392" w:rsidR="00E516C3" w:rsidRPr="00B00234" w:rsidRDefault="007F694D" w:rsidP="00957DC7">
      <w:pPr>
        <w:pStyle w:val="Para1"/>
        <w:ind w:left="540" w:firstLine="27"/>
        <w:rPr>
          <w:bCs/>
          <w:lang w:val="fr-CA"/>
        </w:rPr>
      </w:pPr>
      <w:r w:rsidRPr="00B00234">
        <w:rPr>
          <w:lang w:val="fr-CA"/>
        </w:rPr>
        <w:t>Les principale</w:t>
      </w:r>
      <w:r w:rsidR="005E69E8" w:rsidRPr="00B00234">
        <w:rPr>
          <w:lang w:val="fr-CA"/>
        </w:rPr>
        <w:t>s conclusions de l’évaluation f</w:t>
      </w:r>
      <w:r w:rsidRPr="00B00234">
        <w:rPr>
          <w:lang w:val="fr-CA"/>
        </w:rPr>
        <w:t>our</w:t>
      </w:r>
      <w:r w:rsidR="005E69E8" w:rsidRPr="00B00234">
        <w:rPr>
          <w:lang w:val="fr-CA"/>
        </w:rPr>
        <w:t>n</w:t>
      </w:r>
      <w:r w:rsidRPr="00B00234">
        <w:rPr>
          <w:lang w:val="fr-CA"/>
        </w:rPr>
        <w:t>issent des renseignements importants pour le</w:t>
      </w:r>
      <w:r w:rsidR="00B00234">
        <w:rPr>
          <w:lang w:val="fr-CA"/>
        </w:rPr>
        <w:t>s</w:t>
      </w:r>
      <w:r w:rsidRPr="00B00234">
        <w:rPr>
          <w:lang w:val="fr-CA"/>
        </w:rPr>
        <w:t xml:space="preserve"> travaux </w:t>
      </w:r>
      <w:r w:rsidR="005E69E8" w:rsidRPr="00B00234">
        <w:rPr>
          <w:lang w:val="fr-CA"/>
        </w:rPr>
        <w:t>menés</w:t>
      </w:r>
      <w:r w:rsidRPr="00B00234">
        <w:rPr>
          <w:lang w:val="fr-CA"/>
        </w:rPr>
        <w:t xml:space="preserve"> </w:t>
      </w:r>
      <w:r w:rsidR="005E69E8" w:rsidRPr="00B00234">
        <w:rPr>
          <w:lang w:val="fr-CA"/>
        </w:rPr>
        <w:t>dans le cadre</w:t>
      </w:r>
      <w:r w:rsidRPr="00B00234">
        <w:rPr>
          <w:lang w:val="fr-CA"/>
        </w:rPr>
        <w:t xml:space="preserve"> de la Convention, à savoir</w:t>
      </w:r>
      <w:r w:rsidR="00B00234">
        <w:rPr>
          <w:lang w:val="fr-CA"/>
        </w:rPr>
        <w:t> </w:t>
      </w:r>
      <w:r w:rsidR="00AE3F54" w:rsidRPr="00B00234">
        <w:rPr>
          <w:lang w:val="fr-CA"/>
        </w:rPr>
        <w:t>:</w:t>
      </w:r>
    </w:p>
    <w:p w14:paraId="76D45341" w14:textId="74E8F9D8" w:rsidR="00C83DAE" w:rsidRPr="00B00234" w:rsidRDefault="005E69E8" w:rsidP="005E69E8">
      <w:pPr>
        <w:pStyle w:val="Para2"/>
        <w:numPr>
          <w:ilvl w:val="0"/>
          <w:numId w:val="4"/>
        </w:numPr>
        <w:tabs>
          <w:tab w:val="clear" w:pos="1701"/>
          <w:tab w:val="left" w:pos="1800"/>
        </w:tabs>
        <w:ind w:left="540" w:firstLine="720"/>
        <w:rPr>
          <w:lang w:val="fr-CA"/>
        </w:rPr>
      </w:pPr>
      <w:r w:rsidRPr="00B00234">
        <w:rPr>
          <w:lang w:val="fr-CA"/>
        </w:rPr>
        <w:t>Des</w:t>
      </w:r>
      <w:r w:rsidR="00CD361F" w:rsidRPr="00B00234">
        <w:rPr>
          <w:lang w:val="fr-CA"/>
        </w:rPr>
        <w:t xml:space="preserve"> messages</w:t>
      </w:r>
      <w:r w:rsidRPr="00B00234">
        <w:rPr>
          <w:lang w:val="fr-CA"/>
        </w:rPr>
        <w:t xml:space="preserve"> clés</w:t>
      </w:r>
      <w:r w:rsidR="00CD361F" w:rsidRPr="00B00234">
        <w:rPr>
          <w:lang w:val="fr-CA"/>
        </w:rPr>
        <w:t xml:space="preserve"> qui mettent en évidence les liens entre l’utilisation des espèces sauvages et les éléments sociaux, écologiques et culturels, entre autres. De plus, l’évaluation décrit la pertinence et les contributions </w:t>
      </w:r>
      <w:r w:rsidRPr="00B00234">
        <w:rPr>
          <w:lang w:val="fr-CA"/>
        </w:rPr>
        <w:t>qu’a</w:t>
      </w:r>
      <w:r w:rsidR="003066AE" w:rsidRPr="00B00234">
        <w:rPr>
          <w:lang w:val="fr-CA"/>
        </w:rPr>
        <w:t>pp</w:t>
      </w:r>
      <w:r w:rsidRPr="00B00234">
        <w:rPr>
          <w:lang w:val="fr-CA"/>
        </w:rPr>
        <w:t xml:space="preserve">orte </w:t>
      </w:r>
      <w:r w:rsidR="000963A6">
        <w:rPr>
          <w:lang w:val="fr-CA"/>
        </w:rPr>
        <w:t>la garantie d</w:t>
      </w:r>
      <w:r w:rsidR="00CD361F" w:rsidRPr="00B00234">
        <w:rPr>
          <w:lang w:val="fr-CA"/>
        </w:rPr>
        <w:t>’utilisation durable des espèces sauvages dans le vaste contexte de la conservation et de la réalisation des Objectifs de développement durable</w:t>
      </w:r>
      <w:r w:rsidR="00B00234">
        <w:rPr>
          <w:lang w:val="fr-CA"/>
        </w:rPr>
        <w:t> </w:t>
      </w:r>
      <w:r w:rsidR="00EE79BC" w:rsidRPr="00B00234">
        <w:rPr>
          <w:lang w:val="fr-CA"/>
        </w:rPr>
        <w:t>;</w:t>
      </w:r>
    </w:p>
    <w:p w14:paraId="6D4FFE58" w14:textId="524AE966" w:rsidR="003F2D16" w:rsidRPr="00B00234" w:rsidRDefault="007F694D" w:rsidP="005E69E8">
      <w:pPr>
        <w:pStyle w:val="Para2"/>
        <w:tabs>
          <w:tab w:val="clear" w:pos="1701"/>
          <w:tab w:val="left" w:pos="1350"/>
          <w:tab w:val="left" w:pos="1800"/>
        </w:tabs>
        <w:ind w:left="540" w:firstLine="720"/>
        <w:rPr>
          <w:lang w:val="fr-CA"/>
        </w:rPr>
      </w:pPr>
      <w:r w:rsidRPr="00B00234">
        <w:rPr>
          <w:lang w:val="fr-CA"/>
        </w:rPr>
        <w:t xml:space="preserve">b) </w:t>
      </w:r>
      <w:r w:rsidRPr="00B00234">
        <w:rPr>
          <w:lang w:val="fr-CA"/>
        </w:rPr>
        <w:tab/>
      </w:r>
      <w:r w:rsidR="00CD361F" w:rsidRPr="00B00234">
        <w:rPr>
          <w:lang w:val="fr-CA"/>
        </w:rPr>
        <w:t>Des information</w:t>
      </w:r>
      <w:r w:rsidR="00B00234">
        <w:rPr>
          <w:lang w:val="fr-CA"/>
        </w:rPr>
        <w:t>s</w:t>
      </w:r>
      <w:r w:rsidR="00CD361F" w:rsidRPr="00B00234">
        <w:rPr>
          <w:lang w:val="fr-CA"/>
        </w:rPr>
        <w:t xml:space="preserve"> essentielles concernant des élém</w:t>
      </w:r>
      <w:r w:rsidR="00B00234">
        <w:rPr>
          <w:lang w:val="fr-CA"/>
        </w:rPr>
        <w:t>en</w:t>
      </w:r>
      <w:r w:rsidR="00CD361F" w:rsidRPr="00B00234">
        <w:rPr>
          <w:lang w:val="fr-CA"/>
        </w:rPr>
        <w:t xml:space="preserve">ts qui pourraient être intégrés </w:t>
      </w:r>
      <w:r w:rsidR="003066AE" w:rsidRPr="00B00234">
        <w:rPr>
          <w:lang w:val="fr-CA"/>
        </w:rPr>
        <w:t>dans l</w:t>
      </w:r>
      <w:r w:rsidR="00CD361F" w:rsidRPr="00B00234">
        <w:rPr>
          <w:lang w:val="fr-CA"/>
        </w:rPr>
        <w:t xml:space="preserve">es </w:t>
      </w:r>
      <w:r w:rsidR="00150D48" w:rsidRPr="00B00234">
        <w:rPr>
          <w:lang w:val="fr-CA"/>
        </w:rPr>
        <w:t>instruments et outils</w:t>
      </w:r>
      <w:r w:rsidR="00610249" w:rsidRPr="00B00234">
        <w:rPr>
          <w:lang w:val="fr-CA"/>
        </w:rPr>
        <w:t xml:space="preserve"> de politiq</w:t>
      </w:r>
      <w:r w:rsidR="00B53AF0" w:rsidRPr="00B00234">
        <w:rPr>
          <w:lang w:val="fr-CA"/>
        </w:rPr>
        <w:t>u</w:t>
      </w:r>
      <w:r w:rsidR="00610249" w:rsidRPr="00B00234">
        <w:rPr>
          <w:lang w:val="fr-CA"/>
        </w:rPr>
        <w:t xml:space="preserve">e </w:t>
      </w:r>
      <w:r w:rsidR="00150D48" w:rsidRPr="00B00234">
        <w:rPr>
          <w:lang w:val="fr-CA"/>
        </w:rPr>
        <w:t>pou</w:t>
      </w:r>
      <w:r w:rsidR="00610249" w:rsidRPr="00B00234">
        <w:rPr>
          <w:lang w:val="fr-CA"/>
        </w:rPr>
        <w:t xml:space="preserve">r assurer l’efficacité, y compris le soutien d’institutions robustes et adaptatives, de mécanismes participatifs, l’adaptabilité aux </w:t>
      </w:r>
      <w:r w:rsidR="003066AE" w:rsidRPr="00B00234">
        <w:rPr>
          <w:lang w:val="fr-CA"/>
        </w:rPr>
        <w:t>circonstances en évolution et l’</w:t>
      </w:r>
      <w:r w:rsidR="00610249" w:rsidRPr="00B00234">
        <w:rPr>
          <w:lang w:val="fr-CA"/>
        </w:rPr>
        <w:t>intégration dans les processus de politiques des t</w:t>
      </w:r>
      <w:r w:rsidR="003066AE" w:rsidRPr="00B00234">
        <w:rPr>
          <w:lang w:val="fr-CA"/>
        </w:rPr>
        <w:t>ravailleurs scientifiques et des détenteurs de connai</w:t>
      </w:r>
      <w:r w:rsidR="00610249" w:rsidRPr="00B00234">
        <w:rPr>
          <w:lang w:val="fr-CA"/>
        </w:rPr>
        <w:t>ssances autochtones et locales, entre autres</w:t>
      </w:r>
      <w:r w:rsidR="00B00234">
        <w:rPr>
          <w:lang w:val="fr-CA"/>
        </w:rPr>
        <w:t> </w:t>
      </w:r>
      <w:r w:rsidR="00EE79BC" w:rsidRPr="00B00234">
        <w:rPr>
          <w:lang w:val="fr-CA"/>
        </w:rPr>
        <w:t>;</w:t>
      </w:r>
    </w:p>
    <w:p w14:paraId="4B1BC512" w14:textId="098342C7" w:rsidR="00090541" w:rsidRPr="00B00234" w:rsidRDefault="007F694D" w:rsidP="005E69E8">
      <w:pPr>
        <w:pStyle w:val="Para2"/>
        <w:tabs>
          <w:tab w:val="clear" w:pos="1701"/>
          <w:tab w:val="left" w:pos="1350"/>
          <w:tab w:val="left" w:pos="1800"/>
        </w:tabs>
        <w:ind w:left="540" w:firstLine="720"/>
        <w:rPr>
          <w:lang w:val="fr-CA"/>
        </w:rPr>
      </w:pPr>
      <w:r w:rsidRPr="00B00234">
        <w:rPr>
          <w:lang w:val="fr-CA"/>
        </w:rPr>
        <w:t xml:space="preserve">c) </w:t>
      </w:r>
      <w:r w:rsidRPr="00B00234">
        <w:rPr>
          <w:lang w:val="fr-CA"/>
        </w:rPr>
        <w:tab/>
      </w:r>
      <w:r w:rsidR="00610249" w:rsidRPr="00B00234">
        <w:rPr>
          <w:lang w:val="fr-CA"/>
        </w:rPr>
        <w:t xml:space="preserve">Des renseignements pertinents sur l’état et les tendances dans l’utilisation des espèces sauvages pouvant renforcer les programmes de travail, notamment en ce qui concerne la biodiversité agricole, la biodiversité des îles et la </w:t>
      </w:r>
      <w:r w:rsidR="003066AE" w:rsidRPr="00B00234">
        <w:rPr>
          <w:lang w:val="fr-CA"/>
        </w:rPr>
        <w:t>biodiversité</w:t>
      </w:r>
      <w:r w:rsidR="00610249" w:rsidRPr="00B00234">
        <w:rPr>
          <w:lang w:val="fr-CA"/>
        </w:rPr>
        <w:t xml:space="preserve"> des montagnes, la réponse aux questions intersectorielles, telles que les aires protégées, et les partenariats. L’information utilisée est également p</w:t>
      </w:r>
      <w:r w:rsidR="003066AE" w:rsidRPr="00B00234">
        <w:rPr>
          <w:lang w:val="fr-CA"/>
        </w:rPr>
        <w:t>e</w:t>
      </w:r>
      <w:r w:rsidR="00610249" w:rsidRPr="00B00234">
        <w:rPr>
          <w:lang w:val="fr-CA"/>
        </w:rPr>
        <w:t xml:space="preserve">rtinente </w:t>
      </w:r>
      <w:r w:rsidR="00614496" w:rsidRPr="00B00234">
        <w:rPr>
          <w:lang w:val="fr-CA"/>
        </w:rPr>
        <w:t>pour aborder les principaux facteurs d’influence de l’utilisation durable des espèces sauvages (p. ex., changements dans les paysages terrestres et marins, changements climatiques, conséqu</w:t>
      </w:r>
      <w:r w:rsidR="003066AE" w:rsidRPr="00B00234">
        <w:rPr>
          <w:lang w:val="fr-CA"/>
        </w:rPr>
        <w:t>e</w:t>
      </w:r>
      <w:r w:rsidR="00614496" w:rsidRPr="00B00234">
        <w:rPr>
          <w:lang w:val="fr-CA"/>
        </w:rPr>
        <w:t>n</w:t>
      </w:r>
      <w:r w:rsidR="003066AE" w:rsidRPr="00B00234">
        <w:rPr>
          <w:lang w:val="fr-CA"/>
        </w:rPr>
        <w:t>c</w:t>
      </w:r>
      <w:r w:rsidR="00614496" w:rsidRPr="00B00234">
        <w:rPr>
          <w:lang w:val="fr-CA"/>
        </w:rPr>
        <w:t>es socioéconomiques et accroissement de la demande)</w:t>
      </w:r>
      <w:r w:rsidR="00B00234">
        <w:rPr>
          <w:lang w:val="fr-CA"/>
        </w:rPr>
        <w:t> </w:t>
      </w:r>
      <w:r w:rsidR="00EE79BC" w:rsidRPr="00B00234">
        <w:rPr>
          <w:lang w:val="fr-CA"/>
        </w:rPr>
        <w:t>;</w:t>
      </w:r>
    </w:p>
    <w:p w14:paraId="17CB9136" w14:textId="66546AD0" w:rsidR="0041261F" w:rsidRPr="00B00234" w:rsidRDefault="007F694D" w:rsidP="005E69E8">
      <w:pPr>
        <w:pStyle w:val="Para2"/>
        <w:tabs>
          <w:tab w:val="clear" w:pos="1701"/>
          <w:tab w:val="left" w:pos="1350"/>
          <w:tab w:val="left" w:pos="1800"/>
        </w:tabs>
        <w:ind w:left="540" w:firstLine="720"/>
        <w:rPr>
          <w:lang w:val="fr-CA"/>
        </w:rPr>
      </w:pPr>
      <w:r w:rsidRPr="00B00234">
        <w:rPr>
          <w:lang w:val="fr-CA"/>
        </w:rPr>
        <w:t xml:space="preserve">d) </w:t>
      </w:r>
      <w:r w:rsidRPr="00B00234">
        <w:rPr>
          <w:lang w:val="fr-CA"/>
        </w:rPr>
        <w:tab/>
      </w:r>
      <w:r w:rsidR="00614496" w:rsidRPr="00B00234">
        <w:rPr>
          <w:lang w:val="fr-CA"/>
        </w:rPr>
        <w:t>La conceptualisation de l’utilisation durable évolu</w:t>
      </w:r>
      <w:r w:rsidR="003066AE" w:rsidRPr="00B00234">
        <w:rPr>
          <w:lang w:val="fr-CA"/>
        </w:rPr>
        <w:t>e</w:t>
      </w:r>
      <w:r w:rsidR="00614496" w:rsidRPr="00B00234">
        <w:rPr>
          <w:lang w:val="fr-CA"/>
        </w:rPr>
        <w:t xml:space="preserve"> sans cesse au fil du temps. L’évaluation révèle que le meille</w:t>
      </w:r>
      <w:r w:rsidR="00B00234">
        <w:rPr>
          <w:lang w:val="fr-CA"/>
        </w:rPr>
        <w:t>u</w:t>
      </w:r>
      <w:r w:rsidR="00614496" w:rsidRPr="00B00234">
        <w:rPr>
          <w:lang w:val="fr-CA"/>
        </w:rPr>
        <w:t>r moyen de l</w:t>
      </w:r>
      <w:r w:rsidR="00E87C43" w:rsidRPr="00B00234">
        <w:rPr>
          <w:lang w:val="fr-CA"/>
        </w:rPr>
        <w:t>’opéra</w:t>
      </w:r>
      <w:r w:rsidR="003066AE" w:rsidRPr="00B00234">
        <w:rPr>
          <w:lang w:val="fr-CA"/>
        </w:rPr>
        <w:t>tionnaliser est d’y appliquer u</w:t>
      </w:r>
      <w:r w:rsidR="00E87C43" w:rsidRPr="00B00234">
        <w:rPr>
          <w:lang w:val="fr-CA"/>
        </w:rPr>
        <w:t xml:space="preserve">ne série précise de cibles ou d’indicateurs révisés périodiquement. </w:t>
      </w:r>
      <w:r w:rsidR="003066AE" w:rsidRPr="00B00234">
        <w:rPr>
          <w:lang w:val="fr-CA"/>
        </w:rPr>
        <w:t>C’</w:t>
      </w:r>
      <w:r w:rsidR="00CC4895" w:rsidRPr="00B00234">
        <w:rPr>
          <w:lang w:val="fr-CA"/>
        </w:rPr>
        <w:t xml:space="preserve">est pertinent aux travaux </w:t>
      </w:r>
      <w:r w:rsidR="003066AE" w:rsidRPr="00B00234">
        <w:rPr>
          <w:lang w:val="fr-CA"/>
        </w:rPr>
        <w:t>menés dans le cadre</w:t>
      </w:r>
      <w:r w:rsidR="00CC4895" w:rsidRPr="00B00234">
        <w:rPr>
          <w:lang w:val="fr-CA"/>
        </w:rPr>
        <w:t xml:space="preserve"> de la Convention, notamment en ce qui concerne l</w:t>
      </w:r>
      <w:r w:rsidR="003066AE" w:rsidRPr="00B00234">
        <w:rPr>
          <w:lang w:val="fr-CA"/>
        </w:rPr>
        <w:t>’élaboration d’i</w:t>
      </w:r>
      <w:r w:rsidR="00CC4895" w:rsidRPr="00B00234">
        <w:rPr>
          <w:lang w:val="fr-CA"/>
        </w:rPr>
        <w:t>ndicateurs</w:t>
      </w:r>
      <w:r w:rsidR="003066AE" w:rsidRPr="00B00234">
        <w:rPr>
          <w:lang w:val="fr-CA"/>
        </w:rPr>
        <w:t xml:space="preserve"> </w:t>
      </w:r>
      <w:r w:rsidR="00CC4895" w:rsidRPr="00B00234">
        <w:rPr>
          <w:lang w:val="fr-CA"/>
        </w:rPr>
        <w:t>relatifs à la réalisation</w:t>
      </w:r>
      <w:r w:rsidR="000516EE" w:rsidRPr="00B00234">
        <w:rPr>
          <w:lang w:val="fr-CA"/>
        </w:rPr>
        <w:t xml:space="preserve"> des cibles pertinentes du Cadre</w:t>
      </w:r>
      <w:r w:rsidR="00CC4895" w:rsidRPr="00B00234">
        <w:rPr>
          <w:lang w:val="fr-CA"/>
        </w:rPr>
        <w:t>, surtout les cibl</w:t>
      </w:r>
      <w:r w:rsidR="000516EE" w:rsidRPr="00B00234">
        <w:rPr>
          <w:lang w:val="fr-CA"/>
        </w:rPr>
        <w:t>e</w:t>
      </w:r>
      <w:r w:rsidR="00CC4895" w:rsidRPr="00B00234">
        <w:rPr>
          <w:lang w:val="fr-CA"/>
        </w:rPr>
        <w:t xml:space="preserve">s 4, 5, 9 et 10. </w:t>
      </w:r>
      <w:r w:rsidR="000516EE" w:rsidRPr="00B00234">
        <w:rPr>
          <w:lang w:val="fr-CA"/>
        </w:rPr>
        <w:t>En outre</w:t>
      </w:r>
      <w:r w:rsidR="00CC4895" w:rsidRPr="00B00234">
        <w:rPr>
          <w:lang w:val="fr-CA"/>
        </w:rPr>
        <w:t>, l’évaluation décrit également l’importance d’intégrer les indicateurs pour aborder les asp</w:t>
      </w:r>
      <w:r w:rsidR="00B00234">
        <w:rPr>
          <w:lang w:val="fr-CA"/>
        </w:rPr>
        <w:t>e</w:t>
      </w:r>
      <w:r w:rsidR="00CC4895" w:rsidRPr="00B00234">
        <w:rPr>
          <w:lang w:val="fr-CA"/>
        </w:rPr>
        <w:t>cts socioécologiques de l’utilisation durable des espèces sauvages</w:t>
      </w:r>
      <w:r w:rsidR="00B00234">
        <w:rPr>
          <w:lang w:val="fr-CA"/>
        </w:rPr>
        <w:t> </w:t>
      </w:r>
      <w:r w:rsidR="00EE79BC" w:rsidRPr="00B00234">
        <w:rPr>
          <w:lang w:val="fr-CA"/>
        </w:rPr>
        <w:t>;</w:t>
      </w:r>
    </w:p>
    <w:p w14:paraId="210D42B3" w14:textId="7030A0A6" w:rsidR="0041261F" w:rsidRPr="00B00234" w:rsidRDefault="007F694D" w:rsidP="005E69E8">
      <w:pPr>
        <w:pStyle w:val="Para2"/>
        <w:tabs>
          <w:tab w:val="clear" w:pos="1701"/>
          <w:tab w:val="left" w:pos="1350"/>
          <w:tab w:val="left" w:pos="1800"/>
        </w:tabs>
        <w:ind w:left="540" w:firstLine="720"/>
        <w:rPr>
          <w:lang w:val="fr-CA"/>
        </w:rPr>
      </w:pPr>
      <w:r w:rsidRPr="00B00234">
        <w:rPr>
          <w:lang w:val="fr-CA"/>
        </w:rPr>
        <w:t xml:space="preserve">e) </w:t>
      </w:r>
      <w:r w:rsidRPr="00B00234">
        <w:rPr>
          <w:lang w:val="fr-CA"/>
        </w:rPr>
        <w:tab/>
      </w:r>
      <w:r w:rsidR="00CC4895" w:rsidRPr="00B00234">
        <w:rPr>
          <w:lang w:val="fr-CA"/>
        </w:rPr>
        <w:t>L’importance d’assurer la</w:t>
      </w:r>
      <w:r w:rsidR="006A07E6" w:rsidRPr="00B00234">
        <w:rPr>
          <w:lang w:val="fr-CA"/>
        </w:rPr>
        <w:t xml:space="preserve"> répartition équitable des bienfaits de la gouvernance et des cadres institu</w:t>
      </w:r>
      <w:r w:rsidR="00B00234">
        <w:rPr>
          <w:lang w:val="fr-CA"/>
        </w:rPr>
        <w:t>ti</w:t>
      </w:r>
      <w:r w:rsidR="006A07E6" w:rsidRPr="00B00234">
        <w:rPr>
          <w:lang w:val="fr-CA"/>
        </w:rPr>
        <w:t xml:space="preserve">onnels. L’évaluation vise aussi à </w:t>
      </w:r>
      <w:r w:rsidR="000516EE" w:rsidRPr="00B00234">
        <w:rPr>
          <w:lang w:val="fr-CA"/>
        </w:rPr>
        <w:t>garantir l’intégration des questions de genre</w:t>
      </w:r>
      <w:r w:rsidR="006A07E6" w:rsidRPr="00B00234">
        <w:rPr>
          <w:lang w:val="fr-CA"/>
        </w:rPr>
        <w:t xml:space="preserve"> dans la gouvernance des espèces sauvages, surtout en ce qui concerne la répartition </w:t>
      </w:r>
      <w:r w:rsidR="000516EE" w:rsidRPr="00B00234">
        <w:rPr>
          <w:lang w:val="fr-CA"/>
        </w:rPr>
        <w:t>des coûts et avantages, conformém</w:t>
      </w:r>
      <w:r w:rsidR="006A07E6" w:rsidRPr="00B00234">
        <w:rPr>
          <w:lang w:val="fr-CA"/>
        </w:rPr>
        <w:t>ent aux Cibles 22 et 23 du Cadre</w:t>
      </w:r>
      <w:r w:rsidR="00B00234">
        <w:rPr>
          <w:lang w:val="fr-CA"/>
        </w:rPr>
        <w:t> </w:t>
      </w:r>
      <w:r w:rsidR="00E3250E" w:rsidRPr="00B00234">
        <w:rPr>
          <w:lang w:val="fr-CA"/>
        </w:rPr>
        <w:t>;</w:t>
      </w:r>
    </w:p>
    <w:p w14:paraId="102E4D73" w14:textId="615E5A3E" w:rsidR="00C37671" w:rsidRPr="00B00234" w:rsidRDefault="007F694D" w:rsidP="005E69E8">
      <w:pPr>
        <w:pStyle w:val="Para2"/>
        <w:tabs>
          <w:tab w:val="clear" w:pos="1701"/>
          <w:tab w:val="left" w:pos="1350"/>
          <w:tab w:val="left" w:pos="1800"/>
        </w:tabs>
        <w:ind w:left="540" w:firstLine="720"/>
        <w:rPr>
          <w:lang w:val="fr-CA"/>
        </w:rPr>
      </w:pPr>
      <w:r w:rsidRPr="00B00234">
        <w:rPr>
          <w:lang w:val="fr-CA"/>
        </w:rPr>
        <w:t xml:space="preserve">f) </w:t>
      </w:r>
      <w:r w:rsidRPr="00B00234">
        <w:rPr>
          <w:lang w:val="fr-CA"/>
        </w:rPr>
        <w:tab/>
      </w:r>
      <w:r w:rsidR="006A07E6" w:rsidRPr="00B00234">
        <w:rPr>
          <w:lang w:val="fr-CA"/>
        </w:rPr>
        <w:t>L’importance centrale de l’utilisation durable des espèces sauvages pour l’identité, l’expression culturelle et la subsistance de plusieurs peuples autochtones et communautés locales, qui est essentielle à la réalisation des objectifs de la Convention et la mise en œuvre des dispositions du paragra</w:t>
      </w:r>
      <w:r w:rsidR="004C2E77" w:rsidRPr="00B00234">
        <w:rPr>
          <w:lang w:val="fr-CA"/>
        </w:rPr>
        <w:t>phe 7 a</w:t>
      </w:r>
      <w:r w:rsidR="000516EE" w:rsidRPr="00B00234">
        <w:rPr>
          <w:lang w:val="fr-CA"/>
        </w:rPr>
        <w:t>)</w:t>
      </w:r>
      <w:r w:rsidR="004C2E77" w:rsidRPr="00B00234">
        <w:rPr>
          <w:lang w:val="fr-CA"/>
        </w:rPr>
        <w:t xml:space="preserve"> de la partie C du Cadre, qui reconnaît la contribution des </w:t>
      </w:r>
      <w:r w:rsidR="00D82159" w:rsidRPr="00B00234">
        <w:rPr>
          <w:lang w:val="fr-CA"/>
        </w:rPr>
        <w:t>peuples autochtones et d</w:t>
      </w:r>
      <w:r w:rsidR="004C2E77" w:rsidRPr="00B00234">
        <w:rPr>
          <w:lang w:val="fr-CA"/>
        </w:rPr>
        <w:t xml:space="preserve">es communautés locales en tant que responsables de la </w:t>
      </w:r>
      <w:r w:rsidR="00D82159" w:rsidRPr="00B00234">
        <w:rPr>
          <w:lang w:val="fr-CA"/>
        </w:rPr>
        <w:t>biodiversité et de partenaires pour</w:t>
      </w:r>
      <w:r w:rsidR="004C2E77" w:rsidRPr="00B00234">
        <w:rPr>
          <w:lang w:val="fr-CA"/>
        </w:rPr>
        <w:t xml:space="preserve"> sa conservation, sa restauration et son utilisation durable</w:t>
      </w:r>
      <w:r w:rsidR="0060398F" w:rsidRPr="00B00234">
        <w:rPr>
          <w:lang w:val="fr-CA"/>
        </w:rPr>
        <w:t>.</w:t>
      </w:r>
    </w:p>
    <w:p w14:paraId="77E2E0B8" w14:textId="103F0B91" w:rsidR="0073761B" w:rsidRPr="00B00234" w:rsidRDefault="00DE1DA7" w:rsidP="004C55D8">
      <w:pPr>
        <w:pStyle w:val="Titre1"/>
        <w:rPr>
          <w:rFonts w:cs="Times New Roman"/>
          <w:lang w:val="fr-CA"/>
        </w:rPr>
      </w:pPr>
      <w:r w:rsidRPr="00B00234">
        <w:rPr>
          <w:rFonts w:cs="Times New Roman"/>
          <w:lang w:val="fr-CA"/>
        </w:rPr>
        <w:t>R</w:t>
      </w:r>
      <w:r w:rsidR="004C2E77" w:rsidRPr="00B00234">
        <w:rPr>
          <w:rFonts w:cs="Times New Roman"/>
          <w:lang w:val="fr-CA"/>
        </w:rPr>
        <w:t>ecomma</w:t>
      </w:r>
      <w:r w:rsidR="00303106" w:rsidRPr="00B00234">
        <w:rPr>
          <w:rFonts w:cs="Times New Roman"/>
          <w:lang w:val="fr-CA"/>
        </w:rPr>
        <w:t>ndations</w:t>
      </w:r>
    </w:p>
    <w:p w14:paraId="7BB8F3F5" w14:textId="78819661" w:rsidR="00D82159" w:rsidRPr="00B00234" w:rsidRDefault="004C2E77" w:rsidP="000516EE">
      <w:pPr>
        <w:pStyle w:val="Para1"/>
        <w:tabs>
          <w:tab w:val="clear" w:pos="1134"/>
        </w:tabs>
        <w:ind w:left="540"/>
        <w:rPr>
          <w:lang w:val="fr-CA"/>
        </w:rPr>
      </w:pPr>
      <w:r w:rsidRPr="00B00234">
        <w:rPr>
          <w:lang w:val="fr-CA"/>
        </w:rPr>
        <w:t>L’Organe subsidiaire pourrait recommander que la Conférence des</w:t>
      </w:r>
      <w:r w:rsidR="00A31BF0">
        <w:rPr>
          <w:lang w:val="fr-CA"/>
        </w:rPr>
        <w:t xml:space="preserve"> </w:t>
      </w:r>
      <w:r w:rsidRPr="00B00234">
        <w:rPr>
          <w:lang w:val="fr-CA"/>
        </w:rPr>
        <w:t>Parties, à sa seizième réunion, adopte une décision qui ressemblerait à ce qui suit</w:t>
      </w:r>
      <w:r w:rsidR="00B00234">
        <w:rPr>
          <w:lang w:val="fr-CA"/>
        </w:rPr>
        <w:t> </w:t>
      </w:r>
      <w:r w:rsidR="00D76220" w:rsidRPr="00B00234">
        <w:rPr>
          <w:lang w:val="fr-CA"/>
        </w:rPr>
        <w:t>:</w:t>
      </w:r>
    </w:p>
    <w:p w14:paraId="50E4C612" w14:textId="0173EC61" w:rsidR="00E3250E" w:rsidRPr="00B00234" w:rsidRDefault="004C2E77" w:rsidP="00D82159">
      <w:pPr>
        <w:pStyle w:val="Para1"/>
        <w:numPr>
          <w:ilvl w:val="0"/>
          <w:numId w:val="0"/>
        </w:numPr>
        <w:tabs>
          <w:tab w:val="clear" w:pos="1134"/>
        </w:tabs>
        <w:ind w:left="1710"/>
        <w:rPr>
          <w:lang w:val="fr-CA"/>
        </w:rPr>
        <w:sectPr w:rsidR="00E3250E" w:rsidRPr="00B00234" w:rsidSect="006C6F7F">
          <w:headerReference w:type="even" r:id="rId15"/>
          <w:headerReference w:type="default" r:id="rId16"/>
          <w:footerReference w:type="even" r:id="rId17"/>
          <w:footerReference w:type="default" r:id="rId18"/>
          <w:pgSz w:w="12240" w:h="15840"/>
          <w:pgMar w:top="1134" w:right="1440" w:bottom="1134" w:left="1440" w:header="709" w:footer="709" w:gutter="0"/>
          <w:cols w:space="708"/>
          <w:titlePg/>
          <w:docGrid w:linePitch="360"/>
        </w:sectPr>
      </w:pPr>
      <w:r w:rsidRPr="00B00234">
        <w:rPr>
          <w:i/>
          <w:iCs/>
          <w:lang w:val="fr-CA"/>
        </w:rPr>
        <w:lastRenderedPageBreak/>
        <w:t>La Conférence des Parties</w:t>
      </w:r>
      <w:r w:rsidR="00D76220" w:rsidRPr="00B00234">
        <w:rPr>
          <w:lang w:val="fr-CA"/>
        </w:rPr>
        <w:t>,</w:t>
      </w:r>
    </w:p>
    <w:p w14:paraId="26C2E208" w14:textId="41BE2071" w:rsidR="00D76220" w:rsidRPr="00B00234" w:rsidRDefault="004C2E77" w:rsidP="004C55D8">
      <w:pPr>
        <w:pStyle w:val="Para1RecommendationDecision"/>
        <w:ind w:left="1134"/>
        <w:rPr>
          <w:bCs/>
          <w:lang w:val="fr-CA"/>
        </w:rPr>
      </w:pPr>
      <w:r w:rsidRPr="00B00234">
        <w:rPr>
          <w:i/>
          <w:iCs/>
          <w:lang w:val="fr-CA"/>
        </w:rPr>
        <w:t>Rappelant</w:t>
      </w:r>
      <w:r w:rsidR="00D76220" w:rsidRPr="00B00234">
        <w:rPr>
          <w:i/>
          <w:iCs/>
          <w:lang w:val="fr-CA"/>
        </w:rPr>
        <w:t xml:space="preserve"> </w:t>
      </w:r>
      <w:r w:rsidRPr="00B00234">
        <w:rPr>
          <w:lang w:val="fr-CA"/>
        </w:rPr>
        <w:t>sa décision</w:t>
      </w:r>
      <w:r w:rsidR="00D76220" w:rsidRPr="00B00234">
        <w:rPr>
          <w:lang w:val="fr-CA"/>
        </w:rPr>
        <w:t xml:space="preserve"> </w:t>
      </w:r>
      <w:hyperlink r:id="rId19" w:history="1">
        <w:r w:rsidR="00D76220" w:rsidRPr="00B00234">
          <w:rPr>
            <w:rStyle w:val="Lienhypertexte"/>
            <w:lang w:val="fr-CA"/>
          </w:rPr>
          <w:t>15/23</w:t>
        </w:r>
      </w:hyperlink>
      <w:r w:rsidR="00E421A1" w:rsidRPr="00B00234">
        <w:rPr>
          <w:lang w:val="fr-CA"/>
        </w:rPr>
        <w:t xml:space="preserve"> </w:t>
      </w:r>
      <w:r w:rsidRPr="00B00234">
        <w:rPr>
          <w:lang w:val="fr-CA"/>
        </w:rPr>
        <w:t>du 19 décembre 2022</w:t>
      </w:r>
      <w:r w:rsidR="00A13A9F" w:rsidRPr="00B00234">
        <w:rPr>
          <w:lang w:val="fr-CA"/>
        </w:rPr>
        <w:t>,</w:t>
      </w:r>
    </w:p>
    <w:p w14:paraId="142380F3" w14:textId="473644ED" w:rsidR="00D76220" w:rsidRPr="00B00234" w:rsidRDefault="004C2E77" w:rsidP="004C55D8">
      <w:pPr>
        <w:pStyle w:val="Para1RecommendationDecision"/>
        <w:ind w:left="1134"/>
        <w:rPr>
          <w:szCs w:val="22"/>
          <w:lang w:val="fr-CA"/>
        </w:rPr>
      </w:pPr>
      <w:r w:rsidRPr="00B00234">
        <w:rPr>
          <w:i/>
          <w:iCs/>
          <w:lang w:val="fr-CA"/>
        </w:rPr>
        <w:t xml:space="preserve">Reconnaissant </w:t>
      </w:r>
      <w:r w:rsidRPr="00B00234">
        <w:rPr>
          <w:iCs/>
          <w:lang w:val="fr-CA"/>
        </w:rPr>
        <w:t>que l’utilisation durable des espèces sauvages est essentielle</w:t>
      </w:r>
      <w:r w:rsidR="006514DF" w:rsidRPr="00B00234">
        <w:rPr>
          <w:iCs/>
          <w:lang w:val="fr-CA"/>
        </w:rPr>
        <w:t xml:space="preserve"> au renversement de la tendance de l’appauv</w:t>
      </w:r>
      <w:r w:rsidR="00D82159" w:rsidRPr="00B00234">
        <w:rPr>
          <w:iCs/>
          <w:lang w:val="fr-CA"/>
        </w:rPr>
        <w:t>rissement de la diversité biolog</w:t>
      </w:r>
      <w:r w:rsidR="006514DF" w:rsidRPr="00B00234">
        <w:rPr>
          <w:iCs/>
          <w:lang w:val="fr-CA"/>
        </w:rPr>
        <w:t>ique et</w:t>
      </w:r>
      <w:r w:rsidR="00D82159" w:rsidRPr="00B00234">
        <w:rPr>
          <w:iCs/>
          <w:lang w:val="fr-CA"/>
        </w:rPr>
        <w:t>,</w:t>
      </w:r>
      <w:r w:rsidR="006514DF" w:rsidRPr="00B00234">
        <w:rPr>
          <w:iCs/>
          <w:lang w:val="fr-CA"/>
        </w:rPr>
        <w:t xml:space="preserve"> par cons</w:t>
      </w:r>
      <w:r w:rsidR="00A31BF0">
        <w:rPr>
          <w:iCs/>
          <w:lang w:val="fr-CA"/>
        </w:rPr>
        <w:t>é</w:t>
      </w:r>
      <w:r w:rsidR="006514DF" w:rsidRPr="00B00234">
        <w:rPr>
          <w:iCs/>
          <w:lang w:val="fr-CA"/>
        </w:rPr>
        <w:t xml:space="preserve">quent, </w:t>
      </w:r>
      <w:r w:rsidR="00D82159" w:rsidRPr="00B00234">
        <w:rPr>
          <w:iCs/>
          <w:lang w:val="fr-CA"/>
        </w:rPr>
        <w:t xml:space="preserve">est </w:t>
      </w:r>
      <w:r w:rsidR="006514DF" w:rsidRPr="00B00234">
        <w:rPr>
          <w:iCs/>
          <w:lang w:val="fr-CA"/>
        </w:rPr>
        <w:t xml:space="preserve">bien ancrée dans les travaux </w:t>
      </w:r>
      <w:r w:rsidR="00D82159" w:rsidRPr="00B00234">
        <w:rPr>
          <w:iCs/>
          <w:lang w:val="fr-CA"/>
        </w:rPr>
        <w:t>menés</w:t>
      </w:r>
      <w:r w:rsidR="006514DF" w:rsidRPr="00B00234">
        <w:rPr>
          <w:iCs/>
          <w:lang w:val="fr-CA"/>
        </w:rPr>
        <w:t xml:space="preserve"> au titre de la Convention sur la diversité biologique</w:t>
      </w:r>
      <w:r w:rsidR="00A80EF0" w:rsidRPr="00B00234">
        <w:rPr>
          <w:lang w:val="fr-CA"/>
        </w:rPr>
        <w:t>,</w:t>
      </w:r>
      <w:r w:rsidR="00AE2BA5" w:rsidRPr="00B00234">
        <w:rPr>
          <w:rStyle w:val="Appelnotedebasdep"/>
          <w:lang w:val="fr-CA"/>
        </w:rPr>
        <w:footnoteReference w:id="5"/>
      </w:r>
      <w:r w:rsidR="00A80EF0" w:rsidRPr="00B00234">
        <w:rPr>
          <w:lang w:val="fr-CA"/>
        </w:rPr>
        <w:t xml:space="preserve"> </w:t>
      </w:r>
      <w:r w:rsidR="006514DF" w:rsidRPr="00B00234">
        <w:rPr>
          <w:lang w:val="fr-CA"/>
        </w:rPr>
        <w:t xml:space="preserve">notamment grâce à ses nombreux programmes de travail, les Principes et lignes directrices d’Addis-Abeba pour </w:t>
      </w:r>
      <w:r w:rsidR="00D82159" w:rsidRPr="00B00234">
        <w:rPr>
          <w:lang w:val="fr-CA"/>
        </w:rPr>
        <w:t>l’utilisation</w:t>
      </w:r>
      <w:r w:rsidR="006514DF" w:rsidRPr="00B00234">
        <w:rPr>
          <w:lang w:val="fr-CA"/>
        </w:rPr>
        <w:t xml:space="preserve"> durable de la biodiversité</w:t>
      </w:r>
      <w:r w:rsidR="00A01E3D" w:rsidRPr="00B00234">
        <w:rPr>
          <w:rStyle w:val="Appelnotedebasdep"/>
          <w:lang w:val="fr-CA"/>
        </w:rPr>
        <w:footnoteReference w:id="6"/>
      </w:r>
      <w:r w:rsidR="00A80EF0" w:rsidRPr="00B00234">
        <w:rPr>
          <w:lang w:val="fr-CA"/>
        </w:rPr>
        <w:t xml:space="preserve"> </w:t>
      </w:r>
      <w:r w:rsidR="006514DF" w:rsidRPr="00B00234">
        <w:rPr>
          <w:lang w:val="fr-CA"/>
        </w:rPr>
        <w:t>et le Cadre mondial de la biodiversité de Kunming</w:t>
      </w:r>
      <w:r w:rsidR="009977EA">
        <w:rPr>
          <w:lang w:val="fr-CA"/>
        </w:rPr>
        <w:t>-</w:t>
      </w:r>
      <w:r w:rsidR="006514DF" w:rsidRPr="00B00234">
        <w:rPr>
          <w:lang w:val="fr-CA"/>
        </w:rPr>
        <w:t>Montréal</w:t>
      </w:r>
      <w:r w:rsidR="00A80EF0" w:rsidRPr="00B00234">
        <w:rPr>
          <w:szCs w:val="22"/>
          <w:lang w:val="fr-CA"/>
        </w:rPr>
        <w:t>,</w:t>
      </w:r>
      <w:r w:rsidR="002771D8" w:rsidRPr="00B00234">
        <w:rPr>
          <w:rStyle w:val="Appelnotedebasdep"/>
          <w:szCs w:val="22"/>
          <w:lang w:val="fr-CA"/>
        </w:rPr>
        <w:footnoteReference w:id="7"/>
      </w:r>
    </w:p>
    <w:p w14:paraId="10DEA44A" w14:textId="57CD023C" w:rsidR="00D76220" w:rsidRPr="00B00234" w:rsidRDefault="006514DF" w:rsidP="004C55D8">
      <w:pPr>
        <w:pStyle w:val="Para1RecommendationDecision"/>
        <w:ind w:left="1134"/>
        <w:rPr>
          <w:lang w:val="fr-CA"/>
        </w:rPr>
      </w:pPr>
      <w:r w:rsidRPr="00B00234">
        <w:rPr>
          <w:i/>
          <w:iCs/>
          <w:lang w:val="fr-CA"/>
        </w:rPr>
        <w:t xml:space="preserve">Prenant note </w:t>
      </w:r>
      <w:r w:rsidR="009B7FD1" w:rsidRPr="00B00234">
        <w:rPr>
          <w:iCs/>
          <w:lang w:val="fr-CA"/>
        </w:rPr>
        <w:t>que des milliards de personnes part</w:t>
      </w:r>
      <w:r w:rsidR="00D82159" w:rsidRPr="00B00234">
        <w:rPr>
          <w:iCs/>
          <w:lang w:val="fr-CA"/>
        </w:rPr>
        <w:t>out au monde comptent sur l’uti</w:t>
      </w:r>
      <w:r w:rsidR="009B7FD1" w:rsidRPr="00B00234">
        <w:rPr>
          <w:iCs/>
          <w:lang w:val="fr-CA"/>
        </w:rPr>
        <w:t>lisation durable des espèces sauvages, qui sont particulièrement importantes pour les personnes vivant en situation de vulnérabilité</w:t>
      </w:r>
      <w:r w:rsidR="000B5CAC" w:rsidRPr="00B00234">
        <w:rPr>
          <w:lang w:val="fr-CA"/>
        </w:rPr>
        <w:t>,</w:t>
      </w:r>
    </w:p>
    <w:p w14:paraId="60A51A0D" w14:textId="6EDBA8C9" w:rsidR="000B5CAC" w:rsidRPr="00B00234" w:rsidRDefault="009B7FD1" w:rsidP="004C55D8">
      <w:pPr>
        <w:pStyle w:val="Para1RecommendationDecision"/>
        <w:ind w:left="1134"/>
        <w:rPr>
          <w:lang w:val="fr-CA"/>
        </w:rPr>
      </w:pPr>
      <w:r w:rsidRPr="00B00234">
        <w:rPr>
          <w:i/>
          <w:iCs/>
          <w:lang w:val="fr-CA"/>
        </w:rPr>
        <w:t xml:space="preserve">Prenant note également </w:t>
      </w:r>
      <w:r w:rsidRPr="00B00234">
        <w:rPr>
          <w:iCs/>
          <w:lang w:val="fr-CA"/>
        </w:rPr>
        <w:t>que l’utilisation durable des espèces sauvages est au cœur de l’identité et de l’existence de plusieurs peuples autochtones et communautés locales</w:t>
      </w:r>
      <w:r w:rsidR="000B5CAC" w:rsidRPr="00B00234">
        <w:rPr>
          <w:lang w:val="fr-CA"/>
        </w:rPr>
        <w:t>,</w:t>
      </w:r>
    </w:p>
    <w:p w14:paraId="4AB0B758" w14:textId="73E9078A" w:rsidR="00A80EF0" w:rsidRPr="00B00234" w:rsidRDefault="00307E7C" w:rsidP="004C55D8">
      <w:pPr>
        <w:pStyle w:val="Para1RecommendationDecision"/>
        <w:tabs>
          <w:tab w:val="left" w:pos="1701"/>
        </w:tabs>
        <w:ind w:left="1134"/>
        <w:rPr>
          <w:lang w:val="fr-CA"/>
        </w:rPr>
      </w:pPr>
      <w:r w:rsidRPr="00B00234">
        <w:rPr>
          <w:lang w:val="fr-CA"/>
        </w:rPr>
        <w:t>1.</w:t>
      </w:r>
      <w:r w:rsidRPr="00B00234">
        <w:rPr>
          <w:lang w:val="fr-CA"/>
        </w:rPr>
        <w:tab/>
      </w:r>
      <w:r w:rsidR="009B7FD1" w:rsidRPr="00B00234">
        <w:rPr>
          <w:i/>
          <w:iCs/>
          <w:lang w:val="fr-CA"/>
        </w:rPr>
        <w:t xml:space="preserve">Se réjouit </w:t>
      </w:r>
      <w:r w:rsidR="009B7FD1" w:rsidRPr="00B00234">
        <w:rPr>
          <w:iCs/>
          <w:lang w:val="fr-CA"/>
        </w:rPr>
        <w:t xml:space="preserve">de l’Évaluation </w:t>
      </w:r>
      <w:r w:rsidR="00D82159" w:rsidRPr="00B00234">
        <w:rPr>
          <w:iCs/>
          <w:lang w:val="fr-CA"/>
        </w:rPr>
        <w:t>de</w:t>
      </w:r>
      <w:r w:rsidR="009B7FD1" w:rsidRPr="00B00234">
        <w:rPr>
          <w:iCs/>
          <w:lang w:val="fr-CA"/>
        </w:rPr>
        <w:t xml:space="preserve"> l’utilisation durable des espèces sauvages de la Plateforme intergouvernementale scientifique et politique sur la biodiversité et les services écosystémiques</w:t>
      </w:r>
      <w:r w:rsidR="00B00234">
        <w:rPr>
          <w:iCs/>
          <w:lang w:val="fr-CA"/>
        </w:rPr>
        <w:t> </w:t>
      </w:r>
      <w:r w:rsidR="00FE22B7" w:rsidRPr="00B00234">
        <w:rPr>
          <w:lang w:val="fr-CA"/>
        </w:rPr>
        <w:t>;</w:t>
      </w:r>
      <w:r w:rsidR="007D1077" w:rsidRPr="00B00234">
        <w:rPr>
          <w:rStyle w:val="Appelnotedebasdep"/>
          <w:lang w:val="fr-CA"/>
        </w:rPr>
        <w:footnoteReference w:id="8"/>
      </w:r>
    </w:p>
    <w:p w14:paraId="57396250" w14:textId="03CCF8EC" w:rsidR="00A80EF0" w:rsidRPr="00B00234" w:rsidRDefault="00307E7C" w:rsidP="004C55D8">
      <w:pPr>
        <w:pStyle w:val="Para1RecommendationDecision"/>
        <w:tabs>
          <w:tab w:val="left" w:pos="1701"/>
        </w:tabs>
        <w:ind w:left="1134"/>
        <w:rPr>
          <w:lang w:val="fr-CA"/>
        </w:rPr>
      </w:pPr>
      <w:r w:rsidRPr="00B00234">
        <w:rPr>
          <w:lang w:val="fr-CA"/>
        </w:rPr>
        <w:t>2.</w:t>
      </w:r>
      <w:r w:rsidRPr="00B00234">
        <w:rPr>
          <w:lang w:val="fr-CA"/>
        </w:rPr>
        <w:tab/>
      </w:r>
      <w:r w:rsidR="009B7FD1" w:rsidRPr="00B00234">
        <w:rPr>
          <w:i/>
          <w:iCs/>
          <w:lang w:val="fr-CA"/>
        </w:rPr>
        <w:t xml:space="preserve">Appuie </w:t>
      </w:r>
      <w:r w:rsidR="009B7FD1" w:rsidRPr="00B00234">
        <w:rPr>
          <w:iCs/>
          <w:lang w:val="fr-CA"/>
        </w:rPr>
        <w:t>les principaux messages contenus dans l’évaluation</w:t>
      </w:r>
      <w:r w:rsidR="00D82159" w:rsidRPr="00B00234">
        <w:rPr>
          <w:iCs/>
          <w:lang w:val="fr-CA"/>
        </w:rPr>
        <w:t xml:space="preserve"> et prend note de leur pertinenc</w:t>
      </w:r>
      <w:r w:rsidR="009B7FD1" w:rsidRPr="00B00234">
        <w:rPr>
          <w:iCs/>
          <w:lang w:val="fr-CA"/>
        </w:rPr>
        <w:t xml:space="preserve">e pour les travaux </w:t>
      </w:r>
      <w:r w:rsidR="00D82159" w:rsidRPr="00B00234">
        <w:rPr>
          <w:iCs/>
          <w:lang w:val="fr-CA"/>
        </w:rPr>
        <w:t>menés</w:t>
      </w:r>
      <w:r w:rsidR="009B7FD1" w:rsidRPr="00B00234">
        <w:rPr>
          <w:iCs/>
          <w:lang w:val="fr-CA"/>
        </w:rPr>
        <w:t xml:space="preserve"> </w:t>
      </w:r>
      <w:r w:rsidR="00D82159" w:rsidRPr="00B00234">
        <w:rPr>
          <w:iCs/>
          <w:lang w:val="fr-CA"/>
        </w:rPr>
        <w:t>dans le cadre</w:t>
      </w:r>
      <w:r w:rsidR="009B7FD1" w:rsidRPr="00B00234">
        <w:rPr>
          <w:iCs/>
          <w:lang w:val="fr-CA"/>
        </w:rPr>
        <w:t xml:space="preserve"> de la Convention et la mise en œuvre du Cadre mondial de la biodiversité de Kunming</w:t>
      </w:r>
      <w:r w:rsidR="009977EA">
        <w:rPr>
          <w:iCs/>
          <w:lang w:val="fr-CA"/>
        </w:rPr>
        <w:t>-</w:t>
      </w:r>
      <w:r w:rsidR="009B7FD1" w:rsidRPr="00B00234">
        <w:rPr>
          <w:iCs/>
          <w:lang w:val="fr-CA"/>
        </w:rPr>
        <w:t>Montréal, ses Cibles 4, 5 et 9 en particulier, et ses cibles 3, 10, 12, 18, 20,</w:t>
      </w:r>
      <w:r w:rsidR="006D2C57" w:rsidRPr="00B00234">
        <w:rPr>
          <w:iCs/>
          <w:lang w:val="fr-CA"/>
        </w:rPr>
        <w:t xml:space="preserve"> </w:t>
      </w:r>
      <w:r w:rsidR="009B7FD1" w:rsidRPr="00B00234">
        <w:rPr>
          <w:iCs/>
          <w:lang w:val="fr-CA"/>
        </w:rPr>
        <w:t>22 et 23</w:t>
      </w:r>
      <w:r w:rsidR="00B00234">
        <w:rPr>
          <w:iCs/>
          <w:lang w:val="fr-CA"/>
        </w:rPr>
        <w:t> </w:t>
      </w:r>
      <w:r w:rsidR="00E82EB0" w:rsidRPr="00B00234">
        <w:rPr>
          <w:szCs w:val="22"/>
          <w:lang w:val="fr-CA"/>
        </w:rPr>
        <w:t>;</w:t>
      </w:r>
    </w:p>
    <w:p w14:paraId="41C8024E" w14:textId="3D4CC720" w:rsidR="00C208A6" w:rsidRPr="00B00234" w:rsidRDefault="00307E7C" w:rsidP="004C55D8">
      <w:pPr>
        <w:pStyle w:val="Para1RecommendationDecision"/>
        <w:tabs>
          <w:tab w:val="left" w:pos="1701"/>
        </w:tabs>
        <w:ind w:left="1134"/>
        <w:rPr>
          <w:lang w:val="fr-CA"/>
        </w:rPr>
      </w:pPr>
      <w:r w:rsidRPr="00B00234">
        <w:rPr>
          <w:lang w:val="fr-CA"/>
        </w:rPr>
        <w:t>3.</w:t>
      </w:r>
      <w:r w:rsidRPr="00B00234">
        <w:rPr>
          <w:lang w:val="fr-CA"/>
        </w:rPr>
        <w:tab/>
      </w:r>
      <w:r w:rsidR="009B7FD1" w:rsidRPr="00B00234">
        <w:rPr>
          <w:i/>
          <w:iCs/>
          <w:lang w:val="fr-CA"/>
        </w:rPr>
        <w:t xml:space="preserve">Encourage </w:t>
      </w:r>
      <w:r w:rsidR="009B7FD1" w:rsidRPr="00B00234">
        <w:rPr>
          <w:iCs/>
          <w:lang w:val="fr-CA"/>
        </w:rPr>
        <w:t xml:space="preserve">les Parties, les autres gouvernements </w:t>
      </w:r>
      <w:r w:rsidR="006D2C57" w:rsidRPr="00B00234">
        <w:rPr>
          <w:iCs/>
          <w:lang w:val="fr-CA"/>
        </w:rPr>
        <w:t>et les</w:t>
      </w:r>
      <w:r w:rsidR="009B7FD1" w:rsidRPr="00B00234">
        <w:rPr>
          <w:iCs/>
          <w:lang w:val="fr-CA"/>
        </w:rPr>
        <w:t xml:space="preserve"> organisations compétentes à assurer la particip</w:t>
      </w:r>
      <w:r w:rsidR="00A31BF0">
        <w:rPr>
          <w:iCs/>
          <w:lang w:val="fr-CA"/>
        </w:rPr>
        <w:t>a</w:t>
      </w:r>
      <w:r w:rsidR="009B7FD1" w:rsidRPr="00B00234">
        <w:rPr>
          <w:iCs/>
          <w:lang w:val="fr-CA"/>
        </w:rPr>
        <w:t xml:space="preserve">tion entière et efficace des </w:t>
      </w:r>
      <w:r w:rsidR="006D2C57" w:rsidRPr="00B00234">
        <w:rPr>
          <w:iCs/>
          <w:lang w:val="fr-CA"/>
        </w:rPr>
        <w:t>peuples autochtones et d</w:t>
      </w:r>
      <w:r w:rsidR="009B7FD1" w:rsidRPr="00B00234">
        <w:rPr>
          <w:iCs/>
          <w:lang w:val="fr-CA"/>
        </w:rPr>
        <w:t>es communautés locales, des femmes, des filles, des enfants, des je</w:t>
      </w:r>
      <w:r w:rsidR="006D2C57" w:rsidRPr="00B00234">
        <w:rPr>
          <w:iCs/>
          <w:lang w:val="fr-CA"/>
        </w:rPr>
        <w:t>unes et des personnes vivant en</w:t>
      </w:r>
      <w:r w:rsidR="009B7FD1" w:rsidRPr="00B00234">
        <w:rPr>
          <w:iCs/>
          <w:lang w:val="fr-CA"/>
        </w:rPr>
        <w:t xml:space="preserve"> </w:t>
      </w:r>
      <w:r w:rsidR="006D2C57" w:rsidRPr="00B00234">
        <w:rPr>
          <w:iCs/>
          <w:lang w:val="fr-CA"/>
        </w:rPr>
        <w:t>situation</w:t>
      </w:r>
      <w:r w:rsidR="009B7FD1" w:rsidRPr="00B00234">
        <w:rPr>
          <w:iCs/>
          <w:lang w:val="fr-CA"/>
        </w:rPr>
        <w:t xml:space="preserve"> de han</w:t>
      </w:r>
      <w:r w:rsidR="00A31BF0">
        <w:rPr>
          <w:iCs/>
          <w:lang w:val="fr-CA"/>
        </w:rPr>
        <w:t>dic</w:t>
      </w:r>
      <w:r w:rsidR="009B7FD1" w:rsidRPr="00B00234">
        <w:rPr>
          <w:iCs/>
          <w:lang w:val="fr-CA"/>
        </w:rPr>
        <w:t>ap à la gouvernance des espèces sauvages, conformément aux Cibles 22 et 23 du Cadre</w:t>
      </w:r>
      <w:r w:rsidR="00B00234">
        <w:rPr>
          <w:iCs/>
          <w:lang w:val="fr-CA"/>
        </w:rPr>
        <w:t> </w:t>
      </w:r>
      <w:r w:rsidR="00E82EB0" w:rsidRPr="00B00234">
        <w:rPr>
          <w:lang w:val="fr-CA"/>
        </w:rPr>
        <w:t>;</w:t>
      </w:r>
    </w:p>
    <w:p w14:paraId="548AA792" w14:textId="766DDEE5" w:rsidR="00C34174" w:rsidRPr="00B00234" w:rsidRDefault="00CC72B0" w:rsidP="004C55D8">
      <w:pPr>
        <w:pStyle w:val="Para1RecommendationDecision"/>
        <w:keepNext/>
        <w:tabs>
          <w:tab w:val="left" w:pos="1701"/>
        </w:tabs>
        <w:ind w:left="1138" w:firstLine="562"/>
        <w:rPr>
          <w:lang w:val="fr-CA"/>
        </w:rPr>
      </w:pPr>
      <w:r w:rsidRPr="00B00234">
        <w:rPr>
          <w:lang w:val="fr-CA"/>
        </w:rPr>
        <w:t>4.</w:t>
      </w:r>
      <w:r w:rsidR="009A1875" w:rsidRPr="00B00234">
        <w:rPr>
          <w:i/>
          <w:iCs/>
          <w:lang w:val="fr-CA"/>
        </w:rPr>
        <w:tab/>
      </w:r>
      <w:r w:rsidR="004D7787" w:rsidRPr="00B00234">
        <w:rPr>
          <w:i/>
          <w:iCs/>
          <w:lang w:val="fr-CA"/>
        </w:rPr>
        <w:t xml:space="preserve">Encourage </w:t>
      </w:r>
      <w:r w:rsidR="004D7787" w:rsidRPr="00B00234">
        <w:rPr>
          <w:iCs/>
          <w:lang w:val="fr-CA"/>
        </w:rPr>
        <w:t>les Parties et invite les autres gouvernements et organisations compétentes, selon leur</w:t>
      </w:r>
      <w:r w:rsidR="009977EA">
        <w:rPr>
          <w:iCs/>
          <w:lang w:val="fr-CA"/>
        </w:rPr>
        <w:t>s</w:t>
      </w:r>
      <w:r w:rsidR="004D7787" w:rsidRPr="00B00234">
        <w:rPr>
          <w:iCs/>
          <w:lang w:val="fr-CA"/>
        </w:rPr>
        <w:t xml:space="preserve"> besoin</w:t>
      </w:r>
      <w:r w:rsidR="009977EA">
        <w:rPr>
          <w:iCs/>
          <w:lang w:val="fr-CA"/>
        </w:rPr>
        <w:t>s</w:t>
      </w:r>
      <w:r w:rsidR="004D7787" w:rsidRPr="00B00234">
        <w:rPr>
          <w:iCs/>
          <w:lang w:val="fr-CA"/>
        </w:rPr>
        <w:t>, leur situation et leurs capacités, à</w:t>
      </w:r>
      <w:r w:rsidR="00B00234">
        <w:rPr>
          <w:iCs/>
          <w:lang w:val="fr-CA"/>
        </w:rPr>
        <w:t> </w:t>
      </w:r>
      <w:r w:rsidR="00C34174" w:rsidRPr="00B00234">
        <w:rPr>
          <w:lang w:val="fr-CA"/>
        </w:rPr>
        <w:t>:</w:t>
      </w:r>
    </w:p>
    <w:p w14:paraId="516E7D31" w14:textId="0F8A8620" w:rsidR="00C34174" w:rsidRPr="00B00234" w:rsidRDefault="004D7787">
      <w:pPr>
        <w:pStyle w:val="Para2RecommendationDecision"/>
        <w:tabs>
          <w:tab w:val="clear" w:pos="1701"/>
          <w:tab w:val="left" w:pos="2268"/>
        </w:tabs>
        <w:ind w:left="1134"/>
        <w:rPr>
          <w:lang w:val="fr-CA"/>
        </w:rPr>
      </w:pPr>
      <w:r w:rsidRPr="00B00234">
        <w:rPr>
          <w:lang w:val="fr-CA"/>
        </w:rPr>
        <w:t>a)</w:t>
      </w:r>
      <w:r w:rsidR="00307E7C" w:rsidRPr="00B00234">
        <w:rPr>
          <w:lang w:val="fr-CA"/>
        </w:rPr>
        <w:tab/>
      </w:r>
      <w:r w:rsidRPr="00B00234">
        <w:rPr>
          <w:lang w:val="fr-CA"/>
        </w:rPr>
        <w:t>Utiliser l’information fournie dans l’évaluation</w:t>
      </w:r>
      <w:r w:rsidR="00C063E0" w:rsidRPr="00B00234">
        <w:rPr>
          <w:lang w:val="fr-CA"/>
        </w:rPr>
        <w:t xml:space="preserve"> </w:t>
      </w:r>
      <w:r w:rsidR="006D2C57" w:rsidRPr="00B00234">
        <w:rPr>
          <w:lang w:val="fr-CA"/>
        </w:rPr>
        <w:t>de</w:t>
      </w:r>
      <w:r w:rsidR="00C063E0" w:rsidRPr="00B00234">
        <w:rPr>
          <w:lang w:val="fr-CA"/>
        </w:rPr>
        <w:t xml:space="preserve"> l’utilisation durable des espèces sauvages de la Plateforme intergouvernementale scientifique et politique sur la biodiversité et les services écosystémiques</w:t>
      </w:r>
      <w:r w:rsidR="00B00234">
        <w:rPr>
          <w:lang w:val="fr-CA"/>
        </w:rPr>
        <w:t> </w:t>
      </w:r>
      <w:r w:rsidR="009A1875" w:rsidRPr="00B00234">
        <w:rPr>
          <w:lang w:val="fr-CA"/>
        </w:rPr>
        <w:t>;</w:t>
      </w:r>
    </w:p>
    <w:p w14:paraId="7C7BFC16" w14:textId="0E16C0FE" w:rsidR="00261ACC" w:rsidRPr="00B00234" w:rsidRDefault="004D7787" w:rsidP="004C55D8">
      <w:pPr>
        <w:pStyle w:val="Para2RecommendationDecision"/>
        <w:tabs>
          <w:tab w:val="clear" w:pos="1701"/>
          <w:tab w:val="left" w:pos="2268"/>
        </w:tabs>
        <w:ind w:left="1134"/>
        <w:rPr>
          <w:lang w:val="fr-CA"/>
        </w:rPr>
      </w:pPr>
      <w:r w:rsidRPr="00B00234">
        <w:rPr>
          <w:lang w:val="fr-CA"/>
        </w:rPr>
        <w:t>b)</w:t>
      </w:r>
      <w:r w:rsidR="00195B3C" w:rsidRPr="00B00234">
        <w:rPr>
          <w:lang w:val="fr-CA"/>
        </w:rPr>
        <w:tab/>
      </w:r>
      <w:r w:rsidR="006D2C57" w:rsidRPr="00B00234">
        <w:rPr>
          <w:lang w:val="fr-CA"/>
        </w:rPr>
        <w:t>Prendre en compte</w:t>
      </w:r>
      <w:r w:rsidR="00C063E0" w:rsidRPr="00B00234">
        <w:rPr>
          <w:lang w:val="fr-CA"/>
        </w:rPr>
        <w:t xml:space="preserve"> les sept mesures de politique ou «</w:t>
      </w:r>
      <w:r w:rsidR="00B00234">
        <w:rPr>
          <w:lang w:val="fr-CA"/>
        </w:rPr>
        <w:t> </w:t>
      </w:r>
      <w:r w:rsidR="00C063E0" w:rsidRPr="00B00234">
        <w:rPr>
          <w:lang w:val="fr-CA"/>
        </w:rPr>
        <w:t>éléments clés » suggérés dans l’évaluation lors de l’élaboration et de la mise en œuvre de politiques sur l’utilisation durable, à savoir la prise de déci</w:t>
      </w:r>
      <w:r w:rsidR="006D2C57" w:rsidRPr="00B00234">
        <w:rPr>
          <w:lang w:val="fr-CA"/>
        </w:rPr>
        <w:t>sions inclusi</w:t>
      </w:r>
      <w:r w:rsidR="00C063E0" w:rsidRPr="00B00234">
        <w:rPr>
          <w:lang w:val="fr-CA"/>
        </w:rPr>
        <w:t xml:space="preserve">ve et participative, l’inclusion de plusieurs formes de connaissances et la reconnaissance des droits, la répartition équitable des coûts et avantages, des politiques </w:t>
      </w:r>
      <w:r w:rsidR="006D2C57" w:rsidRPr="00B00234">
        <w:rPr>
          <w:lang w:val="fr-CA"/>
        </w:rPr>
        <w:t>adapt</w:t>
      </w:r>
      <w:r w:rsidR="00A31BF0">
        <w:rPr>
          <w:lang w:val="fr-CA"/>
        </w:rPr>
        <w:t>ée</w:t>
      </w:r>
      <w:r w:rsidR="006D2C57" w:rsidRPr="00B00234">
        <w:rPr>
          <w:lang w:val="fr-CA"/>
        </w:rPr>
        <w:t>s aux</w:t>
      </w:r>
      <w:r w:rsidR="00C063E0" w:rsidRPr="00B00234">
        <w:rPr>
          <w:lang w:val="fr-CA"/>
        </w:rPr>
        <w:t xml:space="preserve"> contextes sociaux et écologiques locaux, la surveillance des conditions et des pratiques sociales et</w:t>
      </w:r>
      <w:r w:rsidR="004D34B9" w:rsidRPr="00B00234">
        <w:rPr>
          <w:lang w:val="fr-CA"/>
        </w:rPr>
        <w:t xml:space="preserve"> écologiques, des politiques </w:t>
      </w:r>
      <w:r w:rsidR="006D2C57" w:rsidRPr="00B00234">
        <w:rPr>
          <w:lang w:val="fr-CA"/>
        </w:rPr>
        <w:t>coord</w:t>
      </w:r>
      <w:r w:rsidR="004D34B9" w:rsidRPr="00B00234">
        <w:rPr>
          <w:lang w:val="fr-CA"/>
        </w:rPr>
        <w:t>onnées et harmonisées, et des institutions robustes, de coutumières à obligatoires</w:t>
      </w:r>
      <w:r w:rsidR="00B00234">
        <w:rPr>
          <w:lang w:val="fr-CA"/>
        </w:rPr>
        <w:t> </w:t>
      </w:r>
      <w:r w:rsidR="00AC6D73" w:rsidRPr="00B00234">
        <w:rPr>
          <w:lang w:val="fr-CA"/>
        </w:rPr>
        <w:t>;</w:t>
      </w:r>
    </w:p>
    <w:p w14:paraId="7CDD4BF5" w14:textId="695FEC03" w:rsidR="00C34174" w:rsidRPr="00B00234" w:rsidRDefault="004D7787" w:rsidP="004C55D8">
      <w:pPr>
        <w:pStyle w:val="Para2RecommendationDecision"/>
        <w:tabs>
          <w:tab w:val="clear" w:pos="1701"/>
          <w:tab w:val="left" w:pos="2268"/>
        </w:tabs>
        <w:ind w:left="1134"/>
        <w:rPr>
          <w:lang w:val="fr-CA"/>
        </w:rPr>
      </w:pPr>
      <w:r w:rsidRPr="00B00234">
        <w:rPr>
          <w:lang w:val="fr-CA"/>
        </w:rPr>
        <w:t>c)</w:t>
      </w:r>
      <w:r w:rsidR="00307E7C" w:rsidRPr="00B00234">
        <w:rPr>
          <w:lang w:val="fr-CA"/>
        </w:rPr>
        <w:tab/>
      </w:r>
      <w:r w:rsidR="004D34B9" w:rsidRPr="00B00234">
        <w:rPr>
          <w:lang w:val="fr-CA"/>
        </w:rPr>
        <w:t>Inco</w:t>
      </w:r>
      <w:r w:rsidR="00A31BF0">
        <w:rPr>
          <w:lang w:val="fr-CA"/>
        </w:rPr>
        <w:t>r</w:t>
      </w:r>
      <w:r w:rsidR="004D34B9" w:rsidRPr="00B00234">
        <w:rPr>
          <w:lang w:val="fr-CA"/>
        </w:rPr>
        <w:t xml:space="preserve">porer les mécanismes inclusifs et </w:t>
      </w:r>
      <w:r w:rsidR="00246F12" w:rsidRPr="00B00234">
        <w:rPr>
          <w:lang w:val="fr-CA"/>
        </w:rPr>
        <w:t>participatifs</w:t>
      </w:r>
      <w:r w:rsidR="007379B0" w:rsidRPr="00B00234">
        <w:rPr>
          <w:lang w:val="fr-CA"/>
        </w:rPr>
        <w:t xml:space="preserve"> pour l’élaboration des instruments </w:t>
      </w:r>
      <w:r w:rsidR="00B53AF0" w:rsidRPr="00B00234">
        <w:rPr>
          <w:lang w:val="fr-CA"/>
        </w:rPr>
        <w:t>et outils de politique</w:t>
      </w:r>
      <w:r w:rsidR="007379B0" w:rsidRPr="00B00234">
        <w:rPr>
          <w:lang w:val="fr-CA"/>
        </w:rPr>
        <w:t xml:space="preserve">, </w:t>
      </w:r>
      <w:r w:rsidR="00B53AF0" w:rsidRPr="00B00234">
        <w:rPr>
          <w:lang w:val="fr-CA"/>
        </w:rPr>
        <w:t>de</w:t>
      </w:r>
      <w:r w:rsidR="00246F12" w:rsidRPr="00B00234">
        <w:rPr>
          <w:lang w:val="fr-CA"/>
        </w:rPr>
        <w:t>s</w:t>
      </w:r>
      <w:r w:rsidR="00B53AF0" w:rsidRPr="00B00234">
        <w:rPr>
          <w:lang w:val="fr-CA"/>
        </w:rPr>
        <w:t xml:space="preserve"> </w:t>
      </w:r>
      <w:r w:rsidR="007379B0" w:rsidRPr="00B00234">
        <w:rPr>
          <w:lang w:val="fr-CA"/>
        </w:rPr>
        <w:t>cadres et</w:t>
      </w:r>
      <w:r w:rsidR="00246F12" w:rsidRPr="00B00234">
        <w:rPr>
          <w:lang w:val="fr-CA"/>
        </w:rPr>
        <w:t xml:space="preserve"> </w:t>
      </w:r>
      <w:r w:rsidR="007379B0" w:rsidRPr="00B00234">
        <w:rPr>
          <w:lang w:val="fr-CA"/>
        </w:rPr>
        <w:t>indica</w:t>
      </w:r>
      <w:r w:rsidR="00246F12" w:rsidRPr="00B00234">
        <w:rPr>
          <w:lang w:val="fr-CA"/>
        </w:rPr>
        <w:t>teurs de surveillance, y compri</w:t>
      </w:r>
      <w:r w:rsidR="007379B0" w:rsidRPr="00B00234">
        <w:rPr>
          <w:lang w:val="fr-CA"/>
        </w:rPr>
        <w:t>s pour les Cibles 5, 9, 10,</w:t>
      </w:r>
      <w:r w:rsidR="00246F12" w:rsidRPr="00B00234">
        <w:rPr>
          <w:lang w:val="fr-CA"/>
        </w:rPr>
        <w:t xml:space="preserve"> </w:t>
      </w:r>
      <w:r w:rsidR="007379B0" w:rsidRPr="00B00234">
        <w:rPr>
          <w:lang w:val="fr-CA"/>
        </w:rPr>
        <w:t>22 et 23 du Cadre, veiller à ce que des instruments et outils tiennent compte des changements de contexte socioécon</w:t>
      </w:r>
      <w:r w:rsidR="00A31BF0">
        <w:rPr>
          <w:lang w:val="fr-CA"/>
        </w:rPr>
        <w:t>o</w:t>
      </w:r>
      <w:r w:rsidR="007379B0" w:rsidRPr="00B00234">
        <w:rPr>
          <w:lang w:val="fr-CA"/>
        </w:rPr>
        <w:t xml:space="preserve">mique et de l’harmonisation aux politiques sectorielles, et promouvoir l’incorporation des systèmes de connaissances diversifiés afin </w:t>
      </w:r>
      <w:r w:rsidR="007379B0" w:rsidRPr="00B00234">
        <w:rPr>
          <w:lang w:val="fr-CA"/>
        </w:rPr>
        <w:lastRenderedPageBreak/>
        <w:t xml:space="preserve">d’améliorer la prise de décisions et renforcer la capacité d’adaptation des instruments de politique </w:t>
      </w:r>
      <w:r w:rsidR="00472C3E" w:rsidRPr="00B00234">
        <w:rPr>
          <w:lang w:val="fr-CA"/>
        </w:rPr>
        <w:t>en ce qui a trait à l’utilisation durable des espèces sauvages</w:t>
      </w:r>
      <w:r w:rsidR="00B00234">
        <w:rPr>
          <w:lang w:val="fr-CA"/>
        </w:rPr>
        <w:t> </w:t>
      </w:r>
      <w:r w:rsidR="009A1875" w:rsidRPr="00B00234">
        <w:rPr>
          <w:lang w:val="fr-CA"/>
        </w:rPr>
        <w:t>;</w:t>
      </w:r>
    </w:p>
    <w:p w14:paraId="05A88F47" w14:textId="0CD946D0" w:rsidR="00261ACC" w:rsidRPr="00B00234" w:rsidRDefault="004D7787" w:rsidP="004C55D8">
      <w:pPr>
        <w:pStyle w:val="Para2RecommendationDecision"/>
        <w:tabs>
          <w:tab w:val="clear" w:pos="1701"/>
          <w:tab w:val="left" w:pos="2268"/>
        </w:tabs>
        <w:ind w:left="1134"/>
        <w:rPr>
          <w:lang w:val="fr-CA"/>
        </w:rPr>
      </w:pPr>
      <w:r w:rsidRPr="00B00234">
        <w:rPr>
          <w:lang w:val="fr-CA"/>
        </w:rPr>
        <w:t>d)</w:t>
      </w:r>
      <w:r w:rsidR="00307E7C" w:rsidRPr="00B00234">
        <w:rPr>
          <w:lang w:val="fr-CA"/>
        </w:rPr>
        <w:tab/>
      </w:r>
      <w:r w:rsidR="00B571EA" w:rsidRPr="00B00234">
        <w:rPr>
          <w:lang w:val="fr-CA"/>
        </w:rPr>
        <w:t>Collaborer avec les Parties, les autres gouvernements et les organisation</w:t>
      </w:r>
      <w:r w:rsidR="00246F12" w:rsidRPr="00B00234">
        <w:rPr>
          <w:lang w:val="fr-CA"/>
        </w:rPr>
        <w:t>s</w:t>
      </w:r>
      <w:r w:rsidR="00B571EA" w:rsidRPr="00B00234">
        <w:rPr>
          <w:lang w:val="fr-CA"/>
        </w:rPr>
        <w:t xml:space="preserve"> compétentes à éliminer les difficultés en lien avec les titres de propriété, les droits d’utilisation des ressources et la répartition inéquitable des coûts et avantages découlant de l’utilisation durable des es</w:t>
      </w:r>
      <w:r w:rsidR="00246F12" w:rsidRPr="00B00234">
        <w:rPr>
          <w:lang w:val="fr-CA"/>
        </w:rPr>
        <w:t>pèces sauvages pour la réalisati</w:t>
      </w:r>
      <w:r w:rsidR="00B571EA" w:rsidRPr="00B00234">
        <w:rPr>
          <w:lang w:val="fr-CA"/>
        </w:rPr>
        <w:t>on des objectifs de la Convention</w:t>
      </w:r>
      <w:r w:rsidR="00B00234">
        <w:rPr>
          <w:lang w:val="fr-CA"/>
        </w:rPr>
        <w:t> </w:t>
      </w:r>
      <w:r w:rsidR="009A1875" w:rsidRPr="00B00234">
        <w:rPr>
          <w:lang w:val="fr-CA"/>
        </w:rPr>
        <w:t>;</w:t>
      </w:r>
    </w:p>
    <w:p w14:paraId="4371F4EA" w14:textId="372D40FE" w:rsidR="00F44B71" w:rsidRPr="00B00234" w:rsidRDefault="004D7787" w:rsidP="004C55D8">
      <w:pPr>
        <w:pStyle w:val="Para2RecommendationDecision"/>
        <w:tabs>
          <w:tab w:val="clear" w:pos="1701"/>
          <w:tab w:val="left" w:pos="2268"/>
        </w:tabs>
        <w:ind w:left="1134"/>
        <w:rPr>
          <w:lang w:val="fr-CA"/>
        </w:rPr>
      </w:pPr>
      <w:r w:rsidRPr="00B00234">
        <w:rPr>
          <w:lang w:val="fr-CA"/>
        </w:rPr>
        <w:t>e)</w:t>
      </w:r>
      <w:r w:rsidR="00307E7C" w:rsidRPr="00B00234">
        <w:rPr>
          <w:lang w:val="fr-CA"/>
        </w:rPr>
        <w:tab/>
      </w:r>
      <w:r w:rsidR="00B571EA" w:rsidRPr="00B00234">
        <w:rPr>
          <w:lang w:val="fr-CA"/>
        </w:rPr>
        <w:t>Soutenir les efforts pour intégrer l’éducation, la communication et la sensibilisation à l’utilisation durable des espèces sauvages pour la réalisation du Cadre, conformément à sa Cible 21</w:t>
      </w:r>
      <w:r w:rsidR="00B00234">
        <w:rPr>
          <w:lang w:val="fr-CA"/>
        </w:rPr>
        <w:t> </w:t>
      </w:r>
      <w:r w:rsidR="009A1875" w:rsidRPr="00B00234">
        <w:rPr>
          <w:lang w:val="fr-CA"/>
        </w:rPr>
        <w:t>;</w:t>
      </w:r>
    </w:p>
    <w:p w14:paraId="1D7EDAFA" w14:textId="07891B66" w:rsidR="00F44B71" w:rsidRPr="00B00234" w:rsidRDefault="0014578B" w:rsidP="004C55D8">
      <w:pPr>
        <w:pStyle w:val="Para2RecommendationDecision"/>
        <w:tabs>
          <w:tab w:val="clear" w:pos="1701"/>
          <w:tab w:val="left" w:pos="2268"/>
        </w:tabs>
        <w:ind w:left="1134"/>
        <w:rPr>
          <w:lang w:val="fr-CA"/>
        </w:rPr>
      </w:pPr>
      <w:r w:rsidRPr="00B00234">
        <w:rPr>
          <w:lang w:val="fr-CA"/>
        </w:rPr>
        <w:t>f</w:t>
      </w:r>
      <w:r w:rsidR="00307E7C" w:rsidRPr="00B00234">
        <w:rPr>
          <w:lang w:val="fr-CA"/>
        </w:rPr>
        <w:t>)</w:t>
      </w:r>
      <w:r w:rsidR="00307E7C" w:rsidRPr="00B00234">
        <w:rPr>
          <w:lang w:val="fr-CA"/>
        </w:rPr>
        <w:tab/>
      </w:r>
      <w:r w:rsidR="00821596" w:rsidRPr="00B00234">
        <w:rPr>
          <w:lang w:val="fr-CA"/>
        </w:rPr>
        <w:t>Travailler</w:t>
      </w:r>
      <w:r w:rsidR="00B571EA" w:rsidRPr="00B00234">
        <w:rPr>
          <w:lang w:val="fr-CA"/>
        </w:rPr>
        <w:t xml:space="preserve"> avec les partenaires, notamment par le biais du Partenariat </w:t>
      </w:r>
      <w:r w:rsidR="00821596" w:rsidRPr="00B00234">
        <w:rPr>
          <w:lang w:val="fr-CA"/>
        </w:rPr>
        <w:t>de collaboration sur la gestion durab</w:t>
      </w:r>
      <w:r w:rsidR="00246F12" w:rsidRPr="00B00234">
        <w:rPr>
          <w:lang w:val="fr-CA"/>
        </w:rPr>
        <w:t>le de la vie sauvage, afin d’enc</w:t>
      </w:r>
      <w:r w:rsidR="00821596" w:rsidRPr="00B00234">
        <w:rPr>
          <w:lang w:val="fr-CA"/>
        </w:rPr>
        <w:t>ourager l’utilisation durable des espèces sauva</w:t>
      </w:r>
      <w:r w:rsidR="00246F12" w:rsidRPr="00B00234">
        <w:rPr>
          <w:lang w:val="fr-CA"/>
        </w:rPr>
        <w:t>ges, élaborer des indicateurs po</w:t>
      </w:r>
      <w:r w:rsidR="00821596" w:rsidRPr="00B00234">
        <w:rPr>
          <w:lang w:val="fr-CA"/>
        </w:rPr>
        <w:t>ur assurer la surveillance de l’état et des</w:t>
      </w:r>
      <w:r w:rsidR="00280075" w:rsidRPr="00B00234">
        <w:rPr>
          <w:lang w:val="fr-CA"/>
        </w:rPr>
        <w:t xml:space="preserve"> tendances dans l’utilisation d</w:t>
      </w:r>
      <w:r w:rsidR="00821596" w:rsidRPr="00B00234">
        <w:rPr>
          <w:lang w:val="fr-CA"/>
        </w:rPr>
        <w:t>es espèces sauvages, en collaboration avec les organisations internationales concernées</w:t>
      </w:r>
      <w:r w:rsidR="00B00234">
        <w:rPr>
          <w:lang w:val="fr-CA"/>
        </w:rPr>
        <w:t> </w:t>
      </w:r>
      <w:r w:rsidR="0093667D" w:rsidRPr="00B00234">
        <w:rPr>
          <w:lang w:val="fr-CA"/>
        </w:rPr>
        <w:t>;</w:t>
      </w:r>
    </w:p>
    <w:p w14:paraId="1F6D9F95" w14:textId="31ECCC6E" w:rsidR="00F44B71" w:rsidRPr="00B00234" w:rsidRDefault="0014578B" w:rsidP="004C55D8">
      <w:pPr>
        <w:pStyle w:val="Para2RecommendationDecision"/>
        <w:tabs>
          <w:tab w:val="clear" w:pos="1701"/>
          <w:tab w:val="left" w:pos="2268"/>
        </w:tabs>
        <w:ind w:left="1134"/>
        <w:rPr>
          <w:lang w:val="fr-CA"/>
        </w:rPr>
      </w:pPr>
      <w:r w:rsidRPr="00B00234">
        <w:rPr>
          <w:lang w:val="fr-CA"/>
        </w:rPr>
        <w:t>g</w:t>
      </w:r>
      <w:r w:rsidR="00307E7C" w:rsidRPr="00B00234">
        <w:rPr>
          <w:lang w:val="fr-CA"/>
        </w:rPr>
        <w:t>)</w:t>
      </w:r>
      <w:r w:rsidR="00307E7C" w:rsidRPr="00B00234">
        <w:rPr>
          <w:lang w:val="fr-CA"/>
        </w:rPr>
        <w:tab/>
      </w:r>
      <w:r w:rsidR="00821596" w:rsidRPr="00B00234">
        <w:rPr>
          <w:lang w:val="fr-CA"/>
        </w:rPr>
        <w:t>Éliminer les obstacles possibles à l’utilisation durable des espèces sauvages, dont les impacts des changements climatiques, l’augmentation de la demande et les développements technologiques, de manière intégrée, afin de réaliser les Cibles 4, 5 et 9 du Cadre</w:t>
      </w:r>
      <w:r w:rsidR="00B00234">
        <w:rPr>
          <w:lang w:val="fr-CA"/>
        </w:rPr>
        <w:t> </w:t>
      </w:r>
      <w:r w:rsidR="00561AD0" w:rsidRPr="00B00234">
        <w:rPr>
          <w:rStyle w:val="ui-provider"/>
          <w:lang w:val="fr-CA"/>
        </w:rPr>
        <w:t>;</w:t>
      </w:r>
    </w:p>
    <w:p w14:paraId="5F524C4C" w14:textId="5796A2D2" w:rsidR="0011348E" w:rsidRPr="00B00234" w:rsidRDefault="0014578B" w:rsidP="004C55D8">
      <w:pPr>
        <w:pStyle w:val="Para2RecommendationDecision"/>
        <w:tabs>
          <w:tab w:val="clear" w:pos="1701"/>
          <w:tab w:val="left" w:pos="2268"/>
        </w:tabs>
        <w:ind w:left="1134"/>
        <w:rPr>
          <w:lang w:val="fr-CA"/>
        </w:rPr>
      </w:pPr>
      <w:r w:rsidRPr="00B00234">
        <w:rPr>
          <w:lang w:val="fr-CA"/>
        </w:rPr>
        <w:t>h</w:t>
      </w:r>
      <w:r w:rsidR="00307E7C" w:rsidRPr="00B00234">
        <w:rPr>
          <w:lang w:val="fr-CA"/>
        </w:rPr>
        <w:t>)</w:t>
      </w:r>
      <w:r w:rsidR="00307E7C" w:rsidRPr="00B00234">
        <w:rPr>
          <w:lang w:val="fr-CA"/>
        </w:rPr>
        <w:tab/>
      </w:r>
      <w:r w:rsidR="00F50F35" w:rsidRPr="00B00234">
        <w:rPr>
          <w:lang w:val="fr-CA"/>
        </w:rPr>
        <w:t>Repérer les liens et les contributions de l’utilisation durable des es</w:t>
      </w:r>
      <w:r w:rsidR="00280075" w:rsidRPr="00B00234">
        <w:rPr>
          <w:lang w:val="fr-CA"/>
        </w:rPr>
        <w:t>pèces sauvages concernant la réalisati</w:t>
      </w:r>
      <w:r w:rsidR="00F50F35" w:rsidRPr="00B00234">
        <w:rPr>
          <w:lang w:val="fr-CA"/>
        </w:rPr>
        <w:t>on des vastes objectifs de conservation et des Objectifs de développement durable</w:t>
      </w:r>
      <w:r w:rsidR="00280075" w:rsidRPr="00B00234">
        <w:rPr>
          <w:lang w:val="fr-CA"/>
        </w:rPr>
        <w:t>,</w:t>
      </w:r>
      <w:r w:rsidR="00F50F35" w:rsidRPr="00B00234">
        <w:rPr>
          <w:lang w:val="fr-CA"/>
        </w:rPr>
        <w:t xml:space="preserve"> afin de garantir l’</w:t>
      </w:r>
      <w:r w:rsidR="00280075" w:rsidRPr="00B00234">
        <w:rPr>
          <w:lang w:val="fr-CA"/>
        </w:rPr>
        <w:t>harm</w:t>
      </w:r>
      <w:r w:rsidR="00F50F35" w:rsidRPr="00B00234">
        <w:rPr>
          <w:lang w:val="fr-CA"/>
        </w:rPr>
        <w:t>onisation des politiques, et soutenir l’atténuation de l</w:t>
      </w:r>
      <w:r w:rsidR="00280075" w:rsidRPr="00B00234">
        <w:rPr>
          <w:lang w:val="fr-CA"/>
        </w:rPr>
        <w:t>a</w:t>
      </w:r>
      <w:bookmarkStart w:id="3" w:name="_GoBack"/>
      <w:bookmarkEnd w:id="3"/>
      <w:r w:rsidR="00280075" w:rsidRPr="00B00234">
        <w:rPr>
          <w:lang w:val="fr-CA"/>
        </w:rPr>
        <w:t xml:space="preserve"> </w:t>
      </w:r>
      <w:r w:rsidR="00F50F35" w:rsidRPr="00B00234">
        <w:rPr>
          <w:lang w:val="fr-CA"/>
        </w:rPr>
        <w:t>pauvreté et les politiques pour garantir les droits de propriété et l’accès équitable aux terres, aux pêches et aux forêts en tant que condition</w:t>
      </w:r>
      <w:r w:rsidR="00280075" w:rsidRPr="00B00234">
        <w:rPr>
          <w:lang w:val="fr-CA"/>
        </w:rPr>
        <w:t xml:space="preserve"> </w:t>
      </w:r>
      <w:r w:rsidR="00F50F35" w:rsidRPr="00B00234">
        <w:rPr>
          <w:lang w:val="fr-CA"/>
        </w:rPr>
        <w:t>de facilitation de l’utilisation durable des espèces sauvages </w:t>
      </w:r>
      <w:r w:rsidR="00561AD0" w:rsidRPr="00B00234">
        <w:rPr>
          <w:lang w:val="fr-CA"/>
        </w:rPr>
        <w:t>;</w:t>
      </w:r>
    </w:p>
    <w:p w14:paraId="6BADB44B" w14:textId="596E64DB" w:rsidR="0072695F" w:rsidRPr="00B00234" w:rsidRDefault="0014578B" w:rsidP="004C55D8">
      <w:pPr>
        <w:pStyle w:val="Para2RecommendationDecision"/>
        <w:tabs>
          <w:tab w:val="clear" w:pos="1701"/>
          <w:tab w:val="left" w:pos="2268"/>
        </w:tabs>
        <w:ind w:left="1138" w:firstLine="562"/>
        <w:rPr>
          <w:lang w:val="fr-CA"/>
        </w:rPr>
      </w:pPr>
      <w:r w:rsidRPr="00B00234">
        <w:rPr>
          <w:lang w:val="fr-CA"/>
        </w:rPr>
        <w:t>i</w:t>
      </w:r>
      <w:r w:rsidR="00307E7C" w:rsidRPr="00B00234">
        <w:rPr>
          <w:lang w:val="fr-CA"/>
        </w:rPr>
        <w:t>)</w:t>
      </w:r>
      <w:r w:rsidR="00307E7C" w:rsidRPr="00B00234">
        <w:rPr>
          <w:lang w:val="fr-CA"/>
        </w:rPr>
        <w:tab/>
      </w:r>
      <w:r w:rsidR="00F50F35" w:rsidRPr="00B00234">
        <w:rPr>
          <w:lang w:val="fr-CA"/>
        </w:rPr>
        <w:t xml:space="preserve">Éliminer les contraintes telles que </w:t>
      </w:r>
      <w:r w:rsidR="00201EE1">
        <w:rPr>
          <w:lang w:val="fr-CA"/>
        </w:rPr>
        <w:t>la non</w:t>
      </w:r>
      <w:r w:rsidR="00F50F35" w:rsidRPr="00B00234">
        <w:rPr>
          <w:lang w:val="fr-CA"/>
        </w:rPr>
        <w:t xml:space="preserve"> mise en œuvre des instruments internationaux dans les politiques nationales, l’absence de donn</w:t>
      </w:r>
      <w:r w:rsidR="00A31BF0">
        <w:rPr>
          <w:lang w:val="fr-CA"/>
        </w:rPr>
        <w:t>ée</w:t>
      </w:r>
      <w:r w:rsidR="00F50F35" w:rsidRPr="00B00234">
        <w:rPr>
          <w:lang w:val="fr-CA"/>
        </w:rPr>
        <w:t>s et d’indicateurs</w:t>
      </w:r>
      <w:r w:rsidR="00150D48" w:rsidRPr="00B00234">
        <w:rPr>
          <w:lang w:val="fr-CA"/>
        </w:rPr>
        <w:t xml:space="preserve"> et la perte de langues, qui empêchent les peuples autochtones et les communautés locales de conserver et de restaurer les pratiques associées à l’utilisation durable des espèces sauvages pour la réalisatio</w:t>
      </w:r>
      <w:r w:rsidR="00280075" w:rsidRPr="00B00234">
        <w:rPr>
          <w:lang w:val="fr-CA"/>
        </w:rPr>
        <w:t>n</w:t>
      </w:r>
      <w:r w:rsidR="00150D48" w:rsidRPr="00B00234">
        <w:rPr>
          <w:lang w:val="fr-CA"/>
        </w:rPr>
        <w:t xml:space="preserve"> des cibles port</w:t>
      </w:r>
      <w:r w:rsidR="00280075" w:rsidRPr="00B00234">
        <w:rPr>
          <w:lang w:val="fr-CA"/>
        </w:rPr>
        <w:t>ant sur ces utilisations, notam</w:t>
      </w:r>
      <w:r w:rsidR="00150D48" w:rsidRPr="00B00234">
        <w:rPr>
          <w:lang w:val="fr-CA"/>
        </w:rPr>
        <w:t>ment les Cibles 4, 5 et 9 du Cadre</w:t>
      </w:r>
      <w:r w:rsidR="00B00234">
        <w:rPr>
          <w:lang w:val="fr-CA"/>
        </w:rPr>
        <w:t> </w:t>
      </w:r>
      <w:r w:rsidR="002D7883" w:rsidRPr="00B00234">
        <w:rPr>
          <w:lang w:val="fr-CA"/>
        </w:rPr>
        <w:t>;</w:t>
      </w:r>
    </w:p>
    <w:p w14:paraId="3C415067" w14:textId="6D144928" w:rsidR="0011348E" w:rsidRPr="00B00234" w:rsidRDefault="0014578B" w:rsidP="004C55D8">
      <w:pPr>
        <w:pStyle w:val="Para2RecommendationDecision"/>
        <w:tabs>
          <w:tab w:val="clear" w:pos="1701"/>
          <w:tab w:val="left" w:pos="2268"/>
        </w:tabs>
        <w:ind w:left="1138" w:firstLine="562"/>
        <w:rPr>
          <w:lang w:val="fr-CA"/>
        </w:rPr>
      </w:pPr>
      <w:r w:rsidRPr="00B00234">
        <w:rPr>
          <w:lang w:val="fr-CA"/>
        </w:rPr>
        <w:t>j</w:t>
      </w:r>
      <w:r w:rsidR="00456888" w:rsidRPr="00B00234">
        <w:rPr>
          <w:lang w:val="fr-CA"/>
        </w:rPr>
        <w:t>)</w:t>
      </w:r>
      <w:r w:rsidR="00456888" w:rsidRPr="00B00234">
        <w:rPr>
          <w:lang w:val="fr-CA"/>
        </w:rPr>
        <w:tab/>
      </w:r>
      <w:r w:rsidR="00150D48" w:rsidRPr="00B00234">
        <w:rPr>
          <w:lang w:val="fr-CA"/>
        </w:rPr>
        <w:t>Renforcer les institutions et règles coutumières et encourager la participation des détenteurs des connaissances autochtones et locales au développement d’instruments et outils de politique</w:t>
      </w:r>
      <w:r w:rsidR="00B00234">
        <w:rPr>
          <w:lang w:val="fr-CA"/>
        </w:rPr>
        <w:t> </w:t>
      </w:r>
      <w:r w:rsidR="00561AD0" w:rsidRPr="00B00234">
        <w:rPr>
          <w:lang w:val="fr-CA"/>
        </w:rPr>
        <w:t>;</w:t>
      </w:r>
    </w:p>
    <w:p w14:paraId="6395BD2E" w14:textId="15EDB262" w:rsidR="00B9437D" w:rsidRPr="00B00234" w:rsidRDefault="0014578B" w:rsidP="004C55D8">
      <w:pPr>
        <w:pStyle w:val="Para2RecommendationDecision"/>
        <w:tabs>
          <w:tab w:val="clear" w:pos="1701"/>
          <w:tab w:val="left" w:pos="2268"/>
        </w:tabs>
        <w:ind w:left="1138" w:firstLine="562"/>
        <w:rPr>
          <w:lang w:val="fr-CA"/>
        </w:rPr>
      </w:pPr>
      <w:r w:rsidRPr="00B00234">
        <w:rPr>
          <w:lang w:val="fr-CA"/>
        </w:rPr>
        <w:t>k</w:t>
      </w:r>
      <w:r w:rsidR="00307E7C" w:rsidRPr="00B00234">
        <w:rPr>
          <w:lang w:val="fr-CA"/>
        </w:rPr>
        <w:t>)</w:t>
      </w:r>
      <w:r w:rsidR="00307E7C" w:rsidRPr="00B00234">
        <w:rPr>
          <w:lang w:val="fr-CA"/>
        </w:rPr>
        <w:tab/>
      </w:r>
      <w:r w:rsidR="00B53AF0" w:rsidRPr="00B00234">
        <w:rPr>
          <w:lang w:val="fr-CA"/>
        </w:rPr>
        <w:t>Améliorer la compréhension des liens entre l’utilisation des espèces sauvages et les voies de propagation des espèces exotiques envahissantes</w:t>
      </w:r>
      <w:r w:rsidR="00F358CB" w:rsidRPr="00B00234">
        <w:rPr>
          <w:lang w:val="fr-CA"/>
        </w:rPr>
        <w:t>,</w:t>
      </w:r>
      <w:r w:rsidR="00B53AF0" w:rsidRPr="00B00234">
        <w:rPr>
          <w:lang w:val="fr-CA"/>
        </w:rPr>
        <w:t xml:space="preserve"> en soutien à la réalisation de la Cible 6 du Cadre</w:t>
      </w:r>
      <w:r w:rsidR="00B00234">
        <w:rPr>
          <w:lang w:val="fr-CA"/>
        </w:rPr>
        <w:t> </w:t>
      </w:r>
      <w:r w:rsidR="00561AD0" w:rsidRPr="00B00234">
        <w:rPr>
          <w:lang w:val="fr-CA"/>
        </w:rPr>
        <w:t>;</w:t>
      </w:r>
    </w:p>
    <w:p w14:paraId="08472F9F" w14:textId="5BC38C2E" w:rsidR="00B9437D" w:rsidRPr="00B00234" w:rsidRDefault="0014578B" w:rsidP="004C55D8">
      <w:pPr>
        <w:pStyle w:val="Para2RecommendationDecision"/>
        <w:tabs>
          <w:tab w:val="clear" w:pos="1701"/>
          <w:tab w:val="left" w:pos="2268"/>
        </w:tabs>
        <w:ind w:left="1138" w:firstLine="562"/>
        <w:rPr>
          <w:lang w:val="fr-CA"/>
        </w:rPr>
      </w:pPr>
      <w:r w:rsidRPr="00B00234">
        <w:rPr>
          <w:lang w:val="fr-CA"/>
        </w:rPr>
        <w:t>l</w:t>
      </w:r>
      <w:r w:rsidR="00307E7C" w:rsidRPr="00B00234">
        <w:rPr>
          <w:lang w:val="fr-CA"/>
        </w:rPr>
        <w:t>)</w:t>
      </w:r>
      <w:r w:rsidR="00307E7C" w:rsidRPr="00B00234">
        <w:rPr>
          <w:lang w:val="fr-CA"/>
        </w:rPr>
        <w:tab/>
      </w:r>
      <w:r w:rsidR="00B53AF0" w:rsidRPr="00B00234">
        <w:rPr>
          <w:lang w:val="fr-CA"/>
        </w:rPr>
        <w:t>Collaborer</w:t>
      </w:r>
      <w:r w:rsidR="00A31BF0">
        <w:rPr>
          <w:lang w:val="fr-CA"/>
        </w:rPr>
        <w:t xml:space="preserve"> avec les Parties,</w:t>
      </w:r>
      <w:r w:rsidR="00B53AF0" w:rsidRPr="00B00234">
        <w:rPr>
          <w:lang w:val="fr-CA"/>
        </w:rPr>
        <w:t xml:space="preserve"> les autres gouvernements et les organisa</w:t>
      </w:r>
      <w:r w:rsidR="00A31BF0">
        <w:rPr>
          <w:lang w:val="fr-CA"/>
        </w:rPr>
        <w:t>ti</w:t>
      </w:r>
      <w:r w:rsidR="00B53AF0" w:rsidRPr="00B00234">
        <w:rPr>
          <w:lang w:val="fr-CA"/>
        </w:rPr>
        <w:t xml:space="preserve">ons afin de coordonner les efforts pour mettre fin à </w:t>
      </w:r>
      <w:r w:rsidR="00903D8B" w:rsidRPr="00B00234">
        <w:rPr>
          <w:lang w:val="fr-CA"/>
        </w:rPr>
        <w:t>l’abattage</w:t>
      </w:r>
      <w:r w:rsidR="00B53AF0" w:rsidRPr="00B00234">
        <w:rPr>
          <w:lang w:val="fr-CA"/>
        </w:rPr>
        <w:t xml:space="preserve"> et au commerce illicites d’espèces sauvages, en appui à la réalisation de la Cible 6 du Cadre</w:t>
      </w:r>
      <w:r w:rsidR="00B00234">
        <w:rPr>
          <w:lang w:val="fr-CA"/>
        </w:rPr>
        <w:t> </w:t>
      </w:r>
      <w:r w:rsidR="00561AD0" w:rsidRPr="00B00234">
        <w:rPr>
          <w:lang w:val="fr-CA"/>
        </w:rPr>
        <w:t>;</w:t>
      </w:r>
    </w:p>
    <w:p w14:paraId="247E249A" w14:textId="654D5258" w:rsidR="00316337" w:rsidRPr="00B00234" w:rsidRDefault="0014578B" w:rsidP="004C55D8">
      <w:pPr>
        <w:pStyle w:val="Para2RecommendationDecision"/>
        <w:tabs>
          <w:tab w:val="clear" w:pos="1701"/>
          <w:tab w:val="left" w:pos="2268"/>
        </w:tabs>
        <w:ind w:left="1138" w:firstLine="562"/>
        <w:rPr>
          <w:lang w:val="fr-CA"/>
        </w:rPr>
      </w:pPr>
      <w:r w:rsidRPr="00B00234">
        <w:rPr>
          <w:lang w:val="fr-CA"/>
        </w:rPr>
        <w:t>m</w:t>
      </w:r>
      <w:r w:rsidR="00307E7C" w:rsidRPr="00B00234">
        <w:rPr>
          <w:lang w:val="fr-CA"/>
        </w:rPr>
        <w:t>)</w:t>
      </w:r>
      <w:r w:rsidR="00307E7C" w:rsidRPr="00B00234">
        <w:rPr>
          <w:lang w:val="fr-CA"/>
        </w:rPr>
        <w:tab/>
      </w:r>
      <w:r w:rsidR="00903D8B" w:rsidRPr="00B00234">
        <w:rPr>
          <w:lang w:val="fr-CA"/>
        </w:rPr>
        <w:t>Encourager de plus amples recherches afin de mieux comprendre les liens entre l’utilisation</w:t>
      </w:r>
      <w:r w:rsidR="00F358CB" w:rsidRPr="00B00234">
        <w:rPr>
          <w:lang w:val="fr-CA"/>
        </w:rPr>
        <w:t xml:space="preserve"> des espèces sauvages et les mal</w:t>
      </w:r>
      <w:r w:rsidR="00903D8B" w:rsidRPr="00B00234">
        <w:rPr>
          <w:lang w:val="fr-CA"/>
        </w:rPr>
        <w:t>adies zoonotiques</w:t>
      </w:r>
      <w:r w:rsidR="00B9437D" w:rsidRPr="00B00234">
        <w:rPr>
          <w:lang w:val="fr-CA"/>
        </w:rPr>
        <w:t>.</w:t>
      </w:r>
    </w:p>
    <w:p w14:paraId="1FB6E1A0" w14:textId="366D0939" w:rsidR="002B559C" w:rsidRPr="00CB4C7E" w:rsidRDefault="00316337" w:rsidP="004C55D8">
      <w:pPr>
        <w:jc w:val="center"/>
        <w:rPr>
          <w:lang w:val="fr-CA"/>
        </w:rPr>
      </w:pPr>
      <w:r w:rsidRPr="00CB4C7E">
        <w:rPr>
          <w:lang w:val="fr-CA"/>
        </w:rPr>
        <w:t>__________</w:t>
      </w:r>
    </w:p>
    <w:sectPr w:rsidR="002B559C" w:rsidRPr="00CB4C7E" w:rsidSect="00E3250E">
      <w:footnotePr>
        <w:numRestart w:val="eachSect"/>
      </w:footnotePr>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F7F18" w14:textId="77777777" w:rsidR="002C28AB" w:rsidRDefault="002C28AB" w:rsidP="00A96B21">
      <w:r>
        <w:separator/>
      </w:r>
    </w:p>
  </w:endnote>
  <w:endnote w:type="continuationSeparator" w:id="0">
    <w:p w14:paraId="2EE60883" w14:textId="77777777" w:rsidR="002C28AB" w:rsidRDefault="002C28AB" w:rsidP="00A96B21">
      <w:r>
        <w:continuationSeparator/>
      </w:r>
    </w:p>
  </w:endnote>
  <w:endnote w:type="continuationNotice" w:id="1">
    <w:p w14:paraId="640FA2E5" w14:textId="77777777" w:rsidR="002C28AB" w:rsidRDefault="002C2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552B5" w14:textId="619B31B1" w:rsidR="003378B8" w:rsidRDefault="003378B8">
    <w:pPr>
      <w:pStyle w:val="Pieddepage"/>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201EE1">
      <w:rPr>
        <w:noProof/>
        <w:sz w:val="20"/>
        <w:szCs w:val="20"/>
      </w:rPr>
      <w:t>6</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201EE1">
      <w:rPr>
        <w:noProof/>
        <w:sz w:val="20"/>
        <w:szCs w:val="20"/>
      </w:rPr>
      <w:t>7</w:t>
    </w:r>
    <w:r w:rsidRPr="002B559C">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744525"/>
      <w:docPartObj>
        <w:docPartGallery w:val="Page Numbers (Bottom of Page)"/>
        <w:docPartUnique/>
      </w:docPartObj>
    </w:sdtPr>
    <w:sdtContent>
      <w:sdt>
        <w:sdtPr>
          <w:id w:val="-1958095988"/>
          <w:docPartObj>
            <w:docPartGallery w:val="Page Numbers (Top of Page)"/>
            <w:docPartUnique/>
          </w:docPartObj>
        </w:sdtPr>
        <w:sdtContent>
          <w:p w14:paraId="45459217" w14:textId="23F8B9B3" w:rsidR="003378B8" w:rsidRDefault="003378B8" w:rsidP="002B559C">
            <w:pPr>
              <w:pStyle w:val="Pieddepage"/>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201EE1">
              <w:rPr>
                <w:noProof/>
                <w:sz w:val="20"/>
                <w:szCs w:val="20"/>
              </w:rPr>
              <w:t>5</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201EE1">
              <w:rPr>
                <w:noProof/>
                <w:sz w:val="20"/>
                <w:szCs w:val="20"/>
              </w:rPr>
              <w:t>7</w:t>
            </w:r>
            <w:r w:rsidRPr="002B559C">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EAB7D" w14:textId="77777777" w:rsidR="002C28AB" w:rsidRDefault="002C28AB" w:rsidP="00A96B21">
      <w:r>
        <w:separator/>
      </w:r>
    </w:p>
  </w:footnote>
  <w:footnote w:type="continuationSeparator" w:id="0">
    <w:p w14:paraId="3B3205FF" w14:textId="77777777" w:rsidR="002C28AB" w:rsidRDefault="002C28AB" w:rsidP="00A96B21">
      <w:r>
        <w:continuationSeparator/>
      </w:r>
    </w:p>
  </w:footnote>
  <w:footnote w:type="continuationNotice" w:id="1">
    <w:p w14:paraId="32060DE2" w14:textId="77777777" w:rsidR="002C28AB" w:rsidRDefault="002C28AB"/>
  </w:footnote>
  <w:footnote w:id="2">
    <w:p w14:paraId="7DC04268" w14:textId="2E70406F" w:rsidR="003378B8" w:rsidRPr="009711B9" w:rsidRDefault="003378B8" w:rsidP="00D71FFB">
      <w:pPr>
        <w:pStyle w:val="Footnote"/>
      </w:pPr>
      <w:r w:rsidRPr="009711B9">
        <w:rPr>
          <w:rStyle w:val="Appelnotedebasdep"/>
        </w:rPr>
        <w:t>*</w:t>
      </w:r>
      <w:r w:rsidRPr="009711B9">
        <w:t xml:space="preserve"> </w:t>
      </w:r>
      <w:r w:rsidRPr="004C55D8">
        <w:t>CBD</w:t>
      </w:r>
      <w:r w:rsidRPr="009711B9">
        <w:t>/</w:t>
      </w:r>
      <w:r w:rsidRPr="004C55D8">
        <w:t>SBSTTA</w:t>
      </w:r>
      <w:r w:rsidRPr="009711B9">
        <w:t>/25/1/Rev.1.</w:t>
      </w:r>
    </w:p>
  </w:footnote>
  <w:footnote w:id="3">
    <w:p w14:paraId="77C078D1" w14:textId="1A744982" w:rsidR="003378B8" w:rsidRPr="00A834EB" w:rsidRDefault="003378B8">
      <w:pPr>
        <w:pStyle w:val="Notedebasdepage"/>
        <w:rPr>
          <w:lang w:val="fr-CA"/>
        </w:rPr>
      </w:pPr>
      <w:r w:rsidRPr="009711B9">
        <w:rPr>
          <w:rStyle w:val="Appelnotedebasdep"/>
        </w:rPr>
        <w:footnoteRef/>
      </w:r>
      <w:r w:rsidRPr="009711B9">
        <w:t xml:space="preserve"> </w:t>
      </w:r>
      <w:r w:rsidRPr="004C55D8">
        <w:t xml:space="preserve">IPBES, </w:t>
      </w:r>
      <w:r w:rsidRPr="004C55D8">
        <w:rPr>
          <w:i/>
          <w:iCs/>
        </w:rPr>
        <w:t>Thematic Assessment Report on the Sustainable Use of Wild Species of the Intergovernmental Science-Policy Platform on Biodiversity and Ecosystem Services</w:t>
      </w:r>
      <w:r w:rsidRPr="009711B9">
        <w:t xml:space="preserve"> (Bonn, 2022).</w:t>
      </w:r>
      <w:r>
        <w:t xml:space="preserve"> </w:t>
      </w:r>
      <w:r w:rsidRPr="00A834EB">
        <w:rPr>
          <w:lang w:val="fr-CA"/>
        </w:rPr>
        <w:t>Publié sur le site www.</w:t>
      </w:r>
      <w:r>
        <w:rPr>
          <w:lang w:val="fr-CA"/>
        </w:rPr>
        <w:t>ipbes.net/sustainable-use-assessment</w:t>
      </w:r>
      <w:r w:rsidRPr="00A834EB">
        <w:rPr>
          <w:lang w:val="fr-CA"/>
        </w:rPr>
        <w:t>.</w:t>
      </w:r>
    </w:p>
  </w:footnote>
  <w:footnote w:id="4">
    <w:p w14:paraId="62454D33" w14:textId="015AE2E4" w:rsidR="003378B8" w:rsidRPr="000311A7" w:rsidRDefault="003378B8">
      <w:pPr>
        <w:pStyle w:val="Notedebasdepage"/>
        <w:rPr>
          <w:lang w:val="fr-CA"/>
        </w:rPr>
      </w:pPr>
      <w:r>
        <w:rPr>
          <w:rStyle w:val="Appelnotedebasdep"/>
        </w:rPr>
        <w:footnoteRef/>
      </w:r>
      <w:r w:rsidRPr="000311A7">
        <w:rPr>
          <w:lang w:val="fr-CA"/>
        </w:rPr>
        <w:t xml:space="preserve"> Sur le site www.ipbes.net/sustainable-use-management</w:t>
      </w:r>
    </w:p>
  </w:footnote>
  <w:footnote w:id="5">
    <w:p w14:paraId="0815BAC5" w14:textId="5A1E9266" w:rsidR="003378B8" w:rsidRPr="00472C3E" w:rsidRDefault="003378B8">
      <w:pPr>
        <w:pStyle w:val="Notedebasdepage"/>
        <w:rPr>
          <w:lang w:val="fr-CA"/>
        </w:rPr>
      </w:pPr>
      <w:r>
        <w:rPr>
          <w:rStyle w:val="Appelnotedebasdep"/>
        </w:rPr>
        <w:footnoteRef/>
      </w:r>
      <w:r w:rsidRPr="00472C3E">
        <w:rPr>
          <w:lang w:val="fr-CA"/>
        </w:rPr>
        <w:t xml:space="preserve"> </w:t>
      </w:r>
      <w:r w:rsidRPr="00472C3E">
        <w:rPr>
          <w:color w:val="000000"/>
          <w:lang w:val="fr-CA"/>
        </w:rPr>
        <w:t xml:space="preserve">Nations Unies, </w:t>
      </w:r>
      <w:r w:rsidRPr="00472C3E">
        <w:rPr>
          <w:i/>
          <w:iCs/>
          <w:color w:val="000000"/>
          <w:lang w:val="fr-CA"/>
        </w:rPr>
        <w:t>Série des traités</w:t>
      </w:r>
      <w:r w:rsidRPr="00472C3E">
        <w:rPr>
          <w:iCs/>
          <w:color w:val="000000"/>
          <w:lang w:val="fr-CA"/>
        </w:rPr>
        <w:t>,</w:t>
      </w:r>
      <w:r w:rsidRPr="00472C3E">
        <w:rPr>
          <w:i/>
          <w:iCs/>
          <w:color w:val="000000"/>
          <w:lang w:val="fr-CA"/>
        </w:rPr>
        <w:t xml:space="preserve"> </w:t>
      </w:r>
      <w:r w:rsidRPr="00472C3E">
        <w:rPr>
          <w:color w:val="000000"/>
          <w:lang w:val="fr-CA"/>
        </w:rPr>
        <w:t xml:space="preserve">vol. 1760, </w:t>
      </w:r>
      <w:r>
        <w:rPr>
          <w:color w:val="000000"/>
          <w:lang w:val="fr-CA"/>
        </w:rPr>
        <w:t>n</w:t>
      </w:r>
      <w:r w:rsidRPr="00472C3E">
        <w:rPr>
          <w:color w:val="000000"/>
          <w:vertAlign w:val="superscript"/>
          <w:lang w:val="fr-CA"/>
        </w:rPr>
        <w:t>o</w:t>
      </w:r>
      <w:r w:rsidRPr="00472C3E">
        <w:rPr>
          <w:color w:val="000000"/>
          <w:lang w:val="fr-CA"/>
        </w:rPr>
        <w:t xml:space="preserve"> 30619.</w:t>
      </w:r>
    </w:p>
  </w:footnote>
  <w:footnote w:id="6">
    <w:p w14:paraId="7F34C217" w14:textId="7441C9A9" w:rsidR="003378B8" w:rsidRPr="00472C3E" w:rsidRDefault="003378B8" w:rsidP="007D1077">
      <w:pPr>
        <w:pStyle w:val="Notedebasdepage"/>
        <w:rPr>
          <w:lang w:val="fr-CA"/>
        </w:rPr>
      </w:pPr>
      <w:r w:rsidRPr="009711B9">
        <w:rPr>
          <w:rStyle w:val="Appelnotedebasdep"/>
        </w:rPr>
        <w:footnoteRef/>
      </w:r>
      <w:r w:rsidRPr="00472C3E">
        <w:rPr>
          <w:lang w:val="fr-CA"/>
        </w:rPr>
        <w:t xml:space="preserve"> Annexe II à la dé</w:t>
      </w:r>
      <w:r>
        <w:rPr>
          <w:lang w:val="fr-CA"/>
        </w:rPr>
        <w:t>cision VII/12</w:t>
      </w:r>
      <w:r w:rsidRPr="00472C3E">
        <w:rPr>
          <w:lang w:val="fr-CA"/>
        </w:rPr>
        <w:t>.</w:t>
      </w:r>
    </w:p>
  </w:footnote>
  <w:footnote w:id="7">
    <w:p w14:paraId="57F85AB1" w14:textId="7304083C" w:rsidR="003378B8" w:rsidRPr="00472C3E" w:rsidRDefault="003378B8">
      <w:pPr>
        <w:pStyle w:val="Notedebasdepage"/>
        <w:rPr>
          <w:lang w:val="fr-CA"/>
        </w:rPr>
      </w:pPr>
      <w:r>
        <w:rPr>
          <w:rStyle w:val="Appelnotedebasdep"/>
        </w:rPr>
        <w:footnoteRef/>
      </w:r>
      <w:r w:rsidRPr="00472C3E">
        <w:rPr>
          <w:lang w:val="fr-CA"/>
        </w:rPr>
        <w:t xml:space="preserve"> Annexe à la dé</w:t>
      </w:r>
      <w:r w:rsidRPr="00472C3E">
        <w:rPr>
          <w:szCs w:val="22"/>
          <w:lang w:val="fr-CA"/>
        </w:rPr>
        <w:t>cision 15/4.</w:t>
      </w:r>
    </w:p>
  </w:footnote>
  <w:footnote w:id="8">
    <w:p w14:paraId="540A1D5D" w14:textId="58333E4C" w:rsidR="003378B8" w:rsidRPr="00472C3E" w:rsidRDefault="003378B8" w:rsidP="007D1077">
      <w:pPr>
        <w:pStyle w:val="Notedebasdepage"/>
        <w:rPr>
          <w:lang w:val="fr-CA"/>
        </w:rPr>
      </w:pPr>
      <w:r w:rsidRPr="009711B9">
        <w:rPr>
          <w:rStyle w:val="Appelnotedebasdep"/>
        </w:rPr>
        <w:footnoteRef/>
      </w:r>
      <w:r w:rsidRPr="00472C3E">
        <w:rPr>
          <w:lang w:val="fr-CA"/>
        </w:rPr>
        <w:t xml:space="preserve"> Plateforme intergouvernementale scientifique et politique sur la biodiversité et les services écosystémiques, </w:t>
      </w:r>
      <w:r w:rsidRPr="006D2C57">
        <w:rPr>
          <w:i/>
          <w:iCs/>
          <w:lang w:val="fr-CA"/>
        </w:rPr>
        <w:t>Thematic Assessment Report on the Sustainable Use of Wild Species</w:t>
      </w:r>
      <w:r w:rsidRPr="006D2C57">
        <w:rPr>
          <w:lang w:val="fr-CA"/>
        </w:rPr>
        <w:t xml:space="preserve"> </w:t>
      </w:r>
      <w:r w:rsidRPr="006D2C57">
        <w:rPr>
          <w:i/>
          <w:iCs/>
          <w:lang w:val="fr-CA"/>
        </w:rPr>
        <w:t>of the Intergovernmental Science-Policy Platform on Biodiversity and Ecosystem Services</w:t>
      </w:r>
      <w:r w:rsidRPr="006D2C57">
        <w:rPr>
          <w:lang w:val="fr-CA"/>
        </w:rPr>
        <w:t xml:space="preserve"> </w:t>
      </w:r>
      <w:r w:rsidRPr="00472C3E">
        <w:rPr>
          <w:lang w:val="fr-CA"/>
        </w:rPr>
        <w:t>(Bonn,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137802784"/>
  <w:bookmarkStart w:id="2" w:name="_Hlk137802785"/>
  <w:p w14:paraId="08A17D07" w14:textId="22443541" w:rsidR="003378B8" w:rsidRPr="002B559C" w:rsidRDefault="003378B8" w:rsidP="002B559C">
    <w:pPr>
      <w:pStyle w:val="En-tte"/>
      <w:pBdr>
        <w:bottom w:val="single" w:sz="4" w:space="1" w:color="auto"/>
      </w:pBdr>
      <w:spacing w:after="240"/>
      <w:rPr>
        <w:sz w:val="20"/>
        <w:szCs w:val="20"/>
        <w:lang w:val="fr-FR"/>
      </w:rPr>
    </w:pPr>
    <w:sdt>
      <w:sdtPr>
        <w:rPr>
          <w:sz w:val="20"/>
          <w:szCs w:val="20"/>
          <w:lang w:val="fr-FR"/>
        </w:rPr>
        <w:alias w:val="Subject"/>
        <w:tag w:val=""/>
        <w:id w:val="-771474423"/>
        <w:dataBinding w:prefixMappings="xmlns:ns0='http://purl.org/dc/elements/1.1/' xmlns:ns1='http://schemas.openxmlformats.org/package/2006/metadata/core-properties' " w:xpath="/ns1:coreProperties[1]/ns0:subject[1]" w:storeItemID="{6C3C8BC8-F283-45AE-878A-BAB7291924A1}"/>
        <w:text/>
      </w:sdtPr>
      <w:sdtContent>
        <w:r>
          <w:rPr>
            <w:sz w:val="20"/>
            <w:szCs w:val="20"/>
            <w:lang w:val="fr-FR"/>
          </w:rPr>
          <w:t>CBD/SBSTTA/25/7</w:t>
        </w:r>
      </w:sdtContent>
    </w:sdt>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lang w:val="fr-FR"/>
      </w:rPr>
      <w:alias w:val="Subject"/>
      <w:tag w:val=""/>
      <w:id w:val="1765030116"/>
      <w:dataBinding w:prefixMappings="xmlns:ns0='http://purl.org/dc/elements/1.1/' xmlns:ns1='http://schemas.openxmlformats.org/package/2006/metadata/core-properties' " w:xpath="/ns1:coreProperties[1]/ns0:subject[1]" w:storeItemID="{6C3C8BC8-F283-45AE-878A-BAB7291924A1}"/>
      <w:text/>
    </w:sdtPr>
    <w:sdtContent>
      <w:p w14:paraId="3BDA1F6A" w14:textId="3E328378" w:rsidR="003378B8" w:rsidRPr="002B559C" w:rsidRDefault="003378B8" w:rsidP="002B559C">
        <w:pPr>
          <w:pStyle w:val="En-tte"/>
          <w:pBdr>
            <w:bottom w:val="single" w:sz="4" w:space="1" w:color="auto"/>
          </w:pBdr>
          <w:spacing w:after="240"/>
          <w:jc w:val="right"/>
          <w:rPr>
            <w:sz w:val="20"/>
            <w:szCs w:val="20"/>
            <w:lang w:val="fr-FR"/>
          </w:rPr>
        </w:pPr>
        <w:r>
          <w:rPr>
            <w:sz w:val="20"/>
            <w:szCs w:val="20"/>
            <w:lang w:val="fr-FR"/>
          </w:rPr>
          <w:t>CBD/SBSTTA/25/7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55B"/>
    <w:multiLevelType w:val="hybridMultilevel"/>
    <w:tmpl w:val="BECACE9C"/>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CC50600"/>
    <w:multiLevelType w:val="hybridMultilevel"/>
    <w:tmpl w:val="407A05A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CF2576E"/>
    <w:multiLevelType w:val="hybridMultilevel"/>
    <w:tmpl w:val="6EE4C0D0"/>
    <w:lvl w:ilvl="0" w:tplc="0C0C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E0457E4"/>
    <w:multiLevelType w:val="hybridMultilevel"/>
    <w:tmpl w:val="558E820A"/>
    <w:lvl w:ilvl="0" w:tplc="5D249F78">
      <w:start w:val="1"/>
      <w:numFmt w:val="lowerLetter"/>
      <w:lvlText w:val="(%1)"/>
      <w:lvlJc w:val="left"/>
      <w:pPr>
        <w:ind w:left="1287" w:hanging="360"/>
      </w:pPr>
      <w:rPr>
        <w:rFonts w:ascii="Times New Roman" w:eastAsia="Times New Roman" w:hAnsi="Times New Roman" w:cs="Times New Roman"/>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3154B95"/>
    <w:multiLevelType w:val="hybridMultilevel"/>
    <w:tmpl w:val="CFA238B4"/>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43442C1"/>
    <w:multiLevelType w:val="hybridMultilevel"/>
    <w:tmpl w:val="5D947678"/>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7E3605D"/>
    <w:multiLevelType w:val="hybridMultilevel"/>
    <w:tmpl w:val="BECACE9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CE45E29"/>
    <w:multiLevelType w:val="hybridMultilevel"/>
    <w:tmpl w:val="5B94CE78"/>
    <w:lvl w:ilvl="0" w:tplc="3B3CCD7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0D75611"/>
    <w:multiLevelType w:val="hybridMultilevel"/>
    <w:tmpl w:val="5790B54A"/>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3A0C15AD"/>
    <w:multiLevelType w:val="hybridMultilevel"/>
    <w:tmpl w:val="B40CD87A"/>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3A7147BE"/>
    <w:multiLevelType w:val="hybridMultilevel"/>
    <w:tmpl w:val="84066A70"/>
    <w:lvl w:ilvl="0" w:tplc="EAB85A52">
      <w:start w:val="1"/>
      <w:numFmt w:val="lowerLetter"/>
      <w:lvlText w:val="(%1)"/>
      <w:lvlJc w:val="left"/>
      <w:pPr>
        <w:ind w:left="927" w:hanging="360"/>
      </w:pPr>
      <w:rPr>
        <w:rFonts w:ascii="Times New Roman" w:eastAsia="Times New Roman" w:hAnsi="Times New Roman" w:cs="Times New Roman"/>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AFC1ED7"/>
    <w:multiLevelType w:val="hybridMultilevel"/>
    <w:tmpl w:val="498E2B62"/>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DE655D9"/>
    <w:multiLevelType w:val="hybridMultilevel"/>
    <w:tmpl w:val="9FFE5648"/>
    <w:lvl w:ilvl="0" w:tplc="84286944">
      <w:start w:val="1"/>
      <w:numFmt w:val="upperLetter"/>
      <w:lvlText w:val="%1."/>
      <w:lvlJc w:val="left"/>
      <w:pPr>
        <w:ind w:left="720" w:hanging="360"/>
      </w:pPr>
      <w:rPr>
        <w:rFonts w:eastAsia="Times New Roman" w:cs="Times New Roman" w:hint="default"/>
        <w:b/>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CC6E29"/>
    <w:multiLevelType w:val="hybridMultilevel"/>
    <w:tmpl w:val="458A5108"/>
    <w:lvl w:ilvl="0" w:tplc="FA00770A">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430026C3"/>
    <w:multiLevelType w:val="hybridMultilevel"/>
    <w:tmpl w:val="57CA5FFC"/>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467961CE"/>
    <w:multiLevelType w:val="hybridMultilevel"/>
    <w:tmpl w:val="2474F758"/>
    <w:lvl w:ilvl="0" w:tplc="AB2EB778">
      <w:start w:val="1"/>
      <w:numFmt w:val="upperRoman"/>
      <w:pStyle w:val="Titre1"/>
      <w:lvlText w:val="%1."/>
      <w:lvlJc w:val="left"/>
      <w:pPr>
        <w:ind w:left="862" w:hanging="720"/>
      </w:pPr>
      <w:rPr>
        <w:rFonts w:ascii="Times New Roman" w:hAnsi="Times New Roman" w:cs="Times New Roman" w:hint="default"/>
        <w:b/>
        <w:bCs/>
        <w:sz w:val="28"/>
        <w:szCs w:val="28"/>
        <w:lang w:val="en-G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537B1A"/>
    <w:multiLevelType w:val="hybridMultilevel"/>
    <w:tmpl w:val="634CC458"/>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4CE93D26"/>
    <w:multiLevelType w:val="hybridMultilevel"/>
    <w:tmpl w:val="9F867CFC"/>
    <w:lvl w:ilvl="0" w:tplc="E0A26810">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D6273AE"/>
    <w:multiLevelType w:val="hybridMultilevel"/>
    <w:tmpl w:val="54E0AB24"/>
    <w:lvl w:ilvl="0" w:tplc="72B6151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55737747"/>
    <w:multiLevelType w:val="hybridMultilevel"/>
    <w:tmpl w:val="539CE2BE"/>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E180578"/>
    <w:multiLevelType w:val="hybridMultilevel"/>
    <w:tmpl w:val="154E9B90"/>
    <w:lvl w:ilvl="0" w:tplc="0C0C0017">
      <w:start w:val="1"/>
      <w:numFmt w:val="lowerLetter"/>
      <w:lvlText w:val="%1)"/>
      <w:lvlJc w:val="left"/>
      <w:pPr>
        <w:ind w:left="1035" w:hanging="360"/>
      </w:pPr>
      <w:rPr>
        <w:rFonts w:hint="default"/>
        <w:b w:val="0"/>
        <w:i w:val="0"/>
        <w:caps w:val="0"/>
        <w:strike w:val="0"/>
        <w:dstrike w:val="0"/>
        <w:vanish w:val="0"/>
        <w:color w:val="auto"/>
        <w:spacing w:val="0"/>
        <w:kern w:val="22"/>
        <w:position w:val="0"/>
        <w:sz w:val="22"/>
        <w:vertAlign w:val="baseline"/>
        <w:lang w:val="fr-CA"/>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2" w15:restartNumberingAfterBreak="0">
    <w:nsid w:val="5E5F34F7"/>
    <w:multiLevelType w:val="hybridMultilevel"/>
    <w:tmpl w:val="407A05AA"/>
    <w:lvl w:ilvl="0" w:tplc="51BC317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FA22192"/>
    <w:multiLevelType w:val="hybridMultilevel"/>
    <w:tmpl w:val="A6B6FF7C"/>
    <w:lvl w:ilvl="0" w:tplc="4942E304">
      <w:start w:val="1"/>
      <w:numFmt w:val="low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4" w15:restartNumberingAfterBreak="0">
    <w:nsid w:val="627B5B41"/>
    <w:multiLevelType w:val="hybridMultilevel"/>
    <w:tmpl w:val="71F897BA"/>
    <w:lvl w:ilvl="0" w:tplc="138AD13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68B70991"/>
    <w:multiLevelType w:val="hybridMultilevel"/>
    <w:tmpl w:val="EF6EDD16"/>
    <w:lvl w:ilvl="0" w:tplc="13588C46">
      <w:start w:val="1"/>
      <w:numFmt w:val="decimal"/>
      <w:pStyle w:val="Para1"/>
      <w:lvlText w:val="%1."/>
      <w:lvlJc w:val="left"/>
      <w:pPr>
        <w:ind w:left="927" w:hanging="360"/>
      </w:p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70AF2AB0"/>
    <w:multiLevelType w:val="hybridMultilevel"/>
    <w:tmpl w:val="C4DCB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10A4F41"/>
    <w:multiLevelType w:val="multilevel"/>
    <w:tmpl w:val="B0B46B4E"/>
    <w:styleLink w:val="Listaactual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784966B5"/>
    <w:multiLevelType w:val="hybridMultilevel"/>
    <w:tmpl w:val="60343CF8"/>
    <w:lvl w:ilvl="0" w:tplc="800CEFF6">
      <w:start w:val="1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78E945D0"/>
    <w:multiLevelType w:val="hybridMultilevel"/>
    <w:tmpl w:val="6C905F04"/>
    <w:lvl w:ilvl="0" w:tplc="B07AE99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5"/>
  </w:num>
  <w:num w:numId="3">
    <w:abstractNumId w:val="20"/>
  </w:num>
  <w:num w:numId="4">
    <w:abstractNumId w:val="21"/>
  </w:num>
  <w:num w:numId="5">
    <w:abstractNumId w:val="30"/>
  </w:num>
  <w:num w:numId="6">
    <w:abstractNumId w:val="17"/>
  </w:num>
  <w:num w:numId="7">
    <w:abstractNumId w:val="10"/>
  </w:num>
  <w:num w:numId="8">
    <w:abstractNumId w:val="12"/>
  </w:num>
  <w:num w:numId="9">
    <w:abstractNumId w:val="27"/>
  </w:num>
  <w:num w:numId="10">
    <w:abstractNumId w:val="25"/>
    <w:lvlOverride w:ilvl="0">
      <w:startOverride w:val="9"/>
    </w:lvlOverride>
  </w:num>
  <w:num w:numId="11">
    <w:abstractNumId w:val="28"/>
  </w:num>
  <w:num w:numId="12">
    <w:abstractNumId w:val="0"/>
  </w:num>
  <w:num w:numId="13">
    <w:abstractNumId w:val="6"/>
  </w:num>
  <w:num w:numId="14">
    <w:abstractNumId w:val="3"/>
  </w:num>
  <w:num w:numId="15">
    <w:abstractNumId w:val="19"/>
  </w:num>
  <w:num w:numId="16">
    <w:abstractNumId w:val="16"/>
  </w:num>
  <w:num w:numId="17">
    <w:abstractNumId w:val="8"/>
  </w:num>
  <w:num w:numId="18">
    <w:abstractNumId w:val="14"/>
  </w:num>
  <w:num w:numId="19">
    <w:abstractNumId w:val="11"/>
  </w:num>
  <w:num w:numId="20">
    <w:abstractNumId w:val="23"/>
  </w:num>
  <w:num w:numId="21">
    <w:abstractNumId w:val="9"/>
  </w:num>
  <w:num w:numId="22">
    <w:abstractNumId w:val="5"/>
  </w:num>
  <w:num w:numId="23">
    <w:abstractNumId w:val="29"/>
  </w:num>
  <w:num w:numId="24">
    <w:abstractNumId w:val="13"/>
  </w:num>
  <w:num w:numId="25">
    <w:abstractNumId w:val="22"/>
  </w:num>
  <w:num w:numId="26">
    <w:abstractNumId w:val="24"/>
  </w:num>
  <w:num w:numId="27">
    <w:abstractNumId w:val="25"/>
  </w:num>
  <w:num w:numId="28">
    <w:abstractNumId w:val="25"/>
  </w:num>
  <w:num w:numId="29">
    <w:abstractNumId w:val="25"/>
  </w:num>
  <w:num w:numId="30">
    <w:abstractNumId w:val="4"/>
  </w:num>
  <w:num w:numId="31">
    <w:abstractNumId w:val="26"/>
  </w:num>
  <w:num w:numId="32">
    <w:abstractNumId w:val="1"/>
  </w:num>
  <w:num w:numId="33">
    <w:abstractNumId w:val="18"/>
  </w:num>
  <w:num w:numId="34">
    <w:abstractNumId w:val="7"/>
  </w:num>
  <w:num w:numId="35">
    <w:abstractNumId w:val="25"/>
  </w:num>
  <w:num w:numId="36">
    <w:abstractNumId w:val="25"/>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4C"/>
    <w:rsid w:val="0000038E"/>
    <w:rsid w:val="00000D81"/>
    <w:rsid w:val="00001D20"/>
    <w:rsid w:val="00002E2F"/>
    <w:rsid w:val="000078A5"/>
    <w:rsid w:val="00010F9E"/>
    <w:rsid w:val="00011928"/>
    <w:rsid w:val="00012D71"/>
    <w:rsid w:val="00016597"/>
    <w:rsid w:val="00016AD1"/>
    <w:rsid w:val="00020353"/>
    <w:rsid w:val="000272C4"/>
    <w:rsid w:val="000311A7"/>
    <w:rsid w:val="00032D3D"/>
    <w:rsid w:val="00037A0B"/>
    <w:rsid w:val="00040598"/>
    <w:rsid w:val="000456A8"/>
    <w:rsid w:val="00047AB3"/>
    <w:rsid w:val="000516EE"/>
    <w:rsid w:val="00051C12"/>
    <w:rsid w:val="000552BC"/>
    <w:rsid w:val="00055A8A"/>
    <w:rsid w:val="000569C3"/>
    <w:rsid w:val="00056D2B"/>
    <w:rsid w:val="000576CE"/>
    <w:rsid w:val="000625B4"/>
    <w:rsid w:val="00062C8D"/>
    <w:rsid w:val="00064BC0"/>
    <w:rsid w:val="00064C11"/>
    <w:rsid w:val="00065F16"/>
    <w:rsid w:val="00066630"/>
    <w:rsid w:val="0007273C"/>
    <w:rsid w:val="00080C8B"/>
    <w:rsid w:val="000838B4"/>
    <w:rsid w:val="0008431B"/>
    <w:rsid w:val="0008575F"/>
    <w:rsid w:val="00090178"/>
    <w:rsid w:val="00090541"/>
    <w:rsid w:val="00093703"/>
    <w:rsid w:val="0009510C"/>
    <w:rsid w:val="00095886"/>
    <w:rsid w:val="00095EED"/>
    <w:rsid w:val="000963A6"/>
    <w:rsid w:val="000975E5"/>
    <w:rsid w:val="000A19C9"/>
    <w:rsid w:val="000A2D08"/>
    <w:rsid w:val="000A3ACB"/>
    <w:rsid w:val="000A3B2A"/>
    <w:rsid w:val="000A64CA"/>
    <w:rsid w:val="000A6EBF"/>
    <w:rsid w:val="000B0351"/>
    <w:rsid w:val="000B1069"/>
    <w:rsid w:val="000B2B5D"/>
    <w:rsid w:val="000B4CED"/>
    <w:rsid w:val="000B5CAC"/>
    <w:rsid w:val="000B5DCB"/>
    <w:rsid w:val="000B69E2"/>
    <w:rsid w:val="000C3F68"/>
    <w:rsid w:val="000C4330"/>
    <w:rsid w:val="000C6A3B"/>
    <w:rsid w:val="000D0DAD"/>
    <w:rsid w:val="000D7617"/>
    <w:rsid w:val="000E13D8"/>
    <w:rsid w:val="000E4237"/>
    <w:rsid w:val="000E455F"/>
    <w:rsid w:val="000E53C7"/>
    <w:rsid w:val="000E6F10"/>
    <w:rsid w:val="000F0506"/>
    <w:rsid w:val="000F2197"/>
    <w:rsid w:val="000F339C"/>
    <w:rsid w:val="000F7CAF"/>
    <w:rsid w:val="00101D9D"/>
    <w:rsid w:val="00101ED5"/>
    <w:rsid w:val="00102ACE"/>
    <w:rsid w:val="0010395C"/>
    <w:rsid w:val="00107690"/>
    <w:rsid w:val="001112BA"/>
    <w:rsid w:val="00112CB3"/>
    <w:rsid w:val="001133C1"/>
    <w:rsid w:val="0011348E"/>
    <w:rsid w:val="00115FAC"/>
    <w:rsid w:val="00120A81"/>
    <w:rsid w:val="00121517"/>
    <w:rsid w:val="00122E14"/>
    <w:rsid w:val="00124013"/>
    <w:rsid w:val="001242E5"/>
    <w:rsid w:val="00124477"/>
    <w:rsid w:val="00126C8F"/>
    <w:rsid w:val="0013003C"/>
    <w:rsid w:val="00132581"/>
    <w:rsid w:val="001326C8"/>
    <w:rsid w:val="00132C0E"/>
    <w:rsid w:val="001406EB"/>
    <w:rsid w:val="001426A9"/>
    <w:rsid w:val="00144581"/>
    <w:rsid w:val="0014578B"/>
    <w:rsid w:val="001469FE"/>
    <w:rsid w:val="00150CFE"/>
    <w:rsid w:val="00150D48"/>
    <w:rsid w:val="0015245F"/>
    <w:rsid w:val="00162307"/>
    <w:rsid w:val="00162321"/>
    <w:rsid w:val="00162B1C"/>
    <w:rsid w:val="00163C30"/>
    <w:rsid w:val="00172BC2"/>
    <w:rsid w:val="00173736"/>
    <w:rsid w:val="00175D5E"/>
    <w:rsid w:val="00180C1C"/>
    <w:rsid w:val="00182A35"/>
    <w:rsid w:val="00184909"/>
    <w:rsid w:val="001878F6"/>
    <w:rsid w:val="00187C3C"/>
    <w:rsid w:val="00191009"/>
    <w:rsid w:val="00192DCB"/>
    <w:rsid w:val="00193D56"/>
    <w:rsid w:val="00194E74"/>
    <w:rsid w:val="00195281"/>
    <w:rsid w:val="00195588"/>
    <w:rsid w:val="00195B3C"/>
    <w:rsid w:val="00196E67"/>
    <w:rsid w:val="001A462B"/>
    <w:rsid w:val="001A7381"/>
    <w:rsid w:val="001A75A9"/>
    <w:rsid w:val="001B3AC3"/>
    <w:rsid w:val="001B462F"/>
    <w:rsid w:val="001C0B0F"/>
    <w:rsid w:val="001C4843"/>
    <w:rsid w:val="001C53D9"/>
    <w:rsid w:val="001E2FE7"/>
    <w:rsid w:val="001E63A5"/>
    <w:rsid w:val="001E6A1D"/>
    <w:rsid w:val="001E773C"/>
    <w:rsid w:val="001F055C"/>
    <w:rsid w:val="001F3744"/>
    <w:rsid w:val="002010AA"/>
    <w:rsid w:val="0020125E"/>
    <w:rsid w:val="00201EE1"/>
    <w:rsid w:val="002023F6"/>
    <w:rsid w:val="00202BFD"/>
    <w:rsid w:val="00206FA7"/>
    <w:rsid w:val="0021546E"/>
    <w:rsid w:val="00224D33"/>
    <w:rsid w:val="002253A2"/>
    <w:rsid w:val="00225723"/>
    <w:rsid w:val="002311EF"/>
    <w:rsid w:val="00232707"/>
    <w:rsid w:val="0024134F"/>
    <w:rsid w:val="002419B0"/>
    <w:rsid w:val="00241ABF"/>
    <w:rsid w:val="0024413B"/>
    <w:rsid w:val="00246E48"/>
    <w:rsid w:val="00246F12"/>
    <w:rsid w:val="00251F32"/>
    <w:rsid w:val="00253946"/>
    <w:rsid w:val="00261ACC"/>
    <w:rsid w:val="00262FED"/>
    <w:rsid w:val="002712A8"/>
    <w:rsid w:val="002717E2"/>
    <w:rsid w:val="00275895"/>
    <w:rsid w:val="002771D8"/>
    <w:rsid w:val="00280075"/>
    <w:rsid w:val="00280414"/>
    <w:rsid w:val="00281C4C"/>
    <w:rsid w:val="002822D2"/>
    <w:rsid w:val="002834A0"/>
    <w:rsid w:val="00284EAB"/>
    <w:rsid w:val="00285753"/>
    <w:rsid w:val="00285FA1"/>
    <w:rsid w:val="00286485"/>
    <w:rsid w:val="00286981"/>
    <w:rsid w:val="00290676"/>
    <w:rsid w:val="00295EF9"/>
    <w:rsid w:val="002A01DC"/>
    <w:rsid w:val="002A27CD"/>
    <w:rsid w:val="002A3452"/>
    <w:rsid w:val="002A3EE7"/>
    <w:rsid w:val="002A42D7"/>
    <w:rsid w:val="002B00CA"/>
    <w:rsid w:val="002B0FEF"/>
    <w:rsid w:val="002B559C"/>
    <w:rsid w:val="002B7720"/>
    <w:rsid w:val="002C28AB"/>
    <w:rsid w:val="002C6E72"/>
    <w:rsid w:val="002C7FE9"/>
    <w:rsid w:val="002D0128"/>
    <w:rsid w:val="002D476E"/>
    <w:rsid w:val="002D4BD4"/>
    <w:rsid w:val="002D7883"/>
    <w:rsid w:val="002E05E4"/>
    <w:rsid w:val="002E5105"/>
    <w:rsid w:val="002E544C"/>
    <w:rsid w:val="002E681E"/>
    <w:rsid w:val="002E7B38"/>
    <w:rsid w:val="002F21EE"/>
    <w:rsid w:val="002F2978"/>
    <w:rsid w:val="002F4513"/>
    <w:rsid w:val="002F4AC8"/>
    <w:rsid w:val="002F4DFF"/>
    <w:rsid w:val="002F4F0B"/>
    <w:rsid w:val="002F5A5D"/>
    <w:rsid w:val="002F7933"/>
    <w:rsid w:val="003015FB"/>
    <w:rsid w:val="00303106"/>
    <w:rsid w:val="003033A0"/>
    <w:rsid w:val="00304071"/>
    <w:rsid w:val="003045B9"/>
    <w:rsid w:val="00304C0B"/>
    <w:rsid w:val="00305BB0"/>
    <w:rsid w:val="003066AE"/>
    <w:rsid w:val="00307E7C"/>
    <w:rsid w:val="00310608"/>
    <w:rsid w:val="00310A76"/>
    <w:rsid w:val="00312D3C"/>
    <w:rsid w:val="00316337"/>
    <w:rsid w:val="00322430"/>
    <w:rsid w:val="00323F22"/>
    <w:rsid w:val="00324AE4"/>
    <w:rsid w:val="00324CD5"/>
    <w:rsid w:val="003321BF"/>
    <w:rsid w:val="00334669"/>
    <w:rsid w:val="00337236"/>
    <w:rsid w:val="003378B8"/>
    <w:rsid w:val="00341403"/>
    <w:rsid w:val="003419BF"/>
    <w:rsid w:val="00343196"/>
    <w:rsid w:val="003466BF"/>
    <w:rsid w:val="003476A9"/>
    <w:rsid w:val="0035014E"/>
    <w:rsid w:val="00351B61"/>
    <w:rsid w:val="00353F77"/>
    <w:rsid w:val="00354FA1"/>
    <w:rsid w:val="00357B84"/>
    <w:rsid w:val="00362688"/>
    <w:rsid w:val="00362C23"/>
    <w:rsid w:val="003633BB"/>
    <w:rsid w:val="00363BFF"/>
    <w:rsid w:val="00364617"/>
    <w:rsid w:val="0037332B"/>
    <w:rsid w:val="00374DCF"/>
    <w:rsid w:val="0037627B"/>
    <w:rsid w:val="00376829"/>
    <w:rsid w:val="00380EAB"/>
    <w:rsid w:val="00382458"/>
    <w:rsid w:val="00385E19"/>
    <w:rsid w:val="00390F2F"/>
    <w:rsid w:val="003927F3"/>
    <w:rsid w:val="00393612"/>
    <w:rsid w:val="003944F0"/>
    <w:rsid w:val="00394EC2"/>
    <w:rsid w:val="003A080E"/>
    <w:rsid w:val="003A0A04"/>
    <w:rsid w:val="003A1D21"/>
    <w:rsid w:val="003A3707"/>
    <w:rsid w:val="003B0954"/>
    <w:rsid w:val="003B2F11"/>
    <w:rsid w:val="003B72E4"/>
    <w:rsid w:val="003B74B3"/>
    <w:rsid w:val="003C31C0"/>
    <w:rsid w:val="003C6C15"/>
    <w:rsid w:val="003C6F10"/>
    <w:rsid w:val="003D0555"/>
    <w:rsid w:val="003D19E8"/>
    <w:rsid w:val="003E0414"/>
    <w:rsid w:val="003E2733"/>
    <w:rsid w:val="003E30DD"/>
    <w:rsid w:val="003F2D16"/>
    <w:rsid w:val="003F6EC6"/>
    <w:rsid w:val="00402CDE"/>
    <w:rsid w:val="004114A8"/>
    <w:rsid w:val="0041261F"/>
    <w:rsid w:val="004159C7"/>
    <w:rsid w:val="00417108"/>
    <w:rsid w:val="004173FE"/>
    <w:rsid w:val="00423454"/>
    <w:rsid w:val="004265B2"/>
    <w:rsid w:val="0043117F"/>
    <w:rsid w:val="004335E2"/>
    <w:rsid w:val="00434B74"/>
    <w:rsid w:val="00435A96"/>
    <w:rsid w:val="00435EC0"/>
    <w:rsid w:val="00437C9B"/>
    <w:rsid w:val="00440FEA"/>
    <w:rsid w:val="004414A7"/>
    <w:rsid w:val="00441DFB"/>
    <w:rsid w:val="004476A9"/>
    <w:rsid w:val="00447A09"/>
    <w:rsid w:val="004522A0"/>
    <w:rsid w:val="004531D8"/>
    <w:rsid w:val="00453531"/>
    <w:rsid w:val="00456888"/>
    <w:rsid w:val="00460DAB"/>
    <w:rsid w:val="00464779"/>
    <w:rsid w:val="00464C88"/>
    <w:rsid w:val="00465814"/>
    <w:rsid w:val="004666C6"/>
    <w:rsid w:val="00467818"/>
    <w:rsid w:val="00467994"/>
    <w:rsid w:val="004701EE"/>
    <w:rsid w:val="00472C3E"/>
    <w:rsid w:val="004730EA"/>
    <w:rsid w:val="004822C5"/>
    <w:rsid w:val="00486927"/>
    <w:rsid w:val="00486D68"/>
    <w:rsid w:val="004916B0"/>
    <w:rsid w:val="004946AA"/>
    <w:rsid w:val="00496163"/>
    <w:rsid w:val="004A1A71"/>
    <w:rsid w:val="004A2A2D"/>
    <w:rsid w:val="004A382B"/>
    <w:rsid w:val="004A434A"/>
    <w:rsid w:val="004A5F33"/>
    <w:rsid w:val="004A6DC9"/>
    <w:rsid w:val="004A789D"/>
    <w:rsid w:val="004B298B"/>
    <w:rsid w:val="004B49D4"/>
    <w:rsid w:val="004B78A6"/>
    <w:rsid w:val="004B7E77"/>
    <w:rsid w:val="004C0034"/>
    <w:rsid w:val="004C1F9F"/>
    <w:rsid w:val="004C2E77"/>
    <w:rsid w:val="004C493D"/>
    <w:rsid w:val="004C55D8"/>
    <w:rsid w:val="004C71E5"/>
    <w:rsid w:val="004D34B9"/>
    <w:rsid w:val="004D3CC7"/>
    <w:rsid w:val="004D7787"/>
    <w:rsid w:val="004E04E8"/>
    <w:rsid w:val="004F4B15"/>
    <w:rsid w:val="004F5246"/>
    <w:rsid w:val="004F71BC"/>
    <w:rsid w:val="005012DF"/>
    <w:rsid w:val="005031A5"/>
    <w:rsid w:val="0050452A"/>
    <w:rsid w:val="00505089"/>
    <w:rsid w:val="00505A45"/>
    <w:rsid w:val="00506D06"/>
    <w:rsid w:val="00512ECC"/>
    <w:rsid w:val="005149C8"/>
    <w:rsid w:val="005157CC"/>
    <w:rsid w:val="00515902"/>
    <w:rsid w:val="005162D3"/>
    <w:rsid w:val="00520907"/>
    <w:rsid w:val="00521A23"/>
    <w:rsid w:val="00523655"/>
    <w:rsid w:val="00525112"/>
    <w:rsid w:val="00525BE8"/>
    <w:rsid w:val="00527A36"/>
    <w:rsid w:val="005335E5"/>
    <w:rsid w:val="0053375C"/>
    <w:rsid w:val="0053673B"/>
    <w:rsid w:val="00537248"/>
    <w:rsid w:val="00541BFB"/>
    <w:rsid w:val="005466FE"/>
    <w:rsid w:val="00546FB6"/>
    <w:rsid w:val="005507E2"/>
    <w:rsid w:val="00551DC4"/>
    <w:rsid w:val="00551E01"/>
    <w:rsid w:val="00556FA9"/>
    <w:rsid w:val="005577AE"/>
    <w:rsid w:val="00557F89"/>
    <w:rsid w:val="00561AD0"/>
    <w:rsid w:val="00562CC3"/>
    <w:rsid w:val="0056348D"/>
    <w:rsid w:val="00563E21"/>
    <w:rsid w:val="005640A3"/>
    <w:rsid w:val="0056420E"/>
    <w:rsid w:val="005677BA"/>
    <w:rsid w:val="0057282B"/>
    <w:rsid w:val="00573F67"/>
    <w:rsid w:val="0057593E"/>
    <w:rsid w:val="00580CEB"/>
    <w:rsid w:val="005872DF"/>
    <w:rsid w:val="00590622"/>
    <w:rsid w:val="00590C44"/>
    <w:rsid w:val="005910D4"/>
    <w:rsid w:val="00591E39"/>
    <w:rsid w:val="0059798B"/>
    <w:rsid w:val="00597C40"/>
    <w:rsid w:val="005A0BCA"/>
    <w:rsid w:val="005A1BE5"/>
    <w:rsid w:val="005A206E"/>
    <w:rsid w:val="005A697D"/>
    <w:rsid w:val="005A6D53"/>
    <w:rsid w:val="005B0147"/>
    <w:rsid w:val="005B3E98"/>
    <w:rsid w:val="005B5F9D"/>
    <w:rsid w:val="005B69AA"/>
    <w:rsid w:val="005B6F90"/>
    <w:rsid w:val="005B7EDB"/>
    <w:rsid w:val="005C0D52"/>
    <w:rsid w:val="005C126D"/>
    <w:rsid w:val="005C2E31"/>
    <w:rsid w:val="005C4071"/>
    <w:rsid w:val="005C66B6"/>
    <w:rsid w:val="005D0BF6"/>
    <w:rsid w:val="005D1B31"/>
    <w:rsid w:val="005D6469"/>
    <w:rsid w:val="005D651C"/>
    <w:rsid w:val="005D76D8"/>
    <w:rsid w:val="005E2605"/>
    <w:rsid w:val="005E64D6"/>
    <w:rsid w:val="005E69E8"/>
    <w:rsid w:val="005F045D"/>
    <w:rsid w:val="005F2652"/>
    <w:rsid w:val="005F3A9A"/>
    <w:rsid w:val="005F5B8E"/>
    <w:rsid w:val="005F69CB"/>
    <w:rsid w:val="005F6EF0"/>
    <w:rsid w:val="006004E3"/>
    <w:rsid w:val="0060087C"/>
    <w:rsid w:val="00601D88"/>
    <w:rsid w:val="00602169"/>
    <w:rsid w:val="00602185"/>
    <w:rsid w:val="0060398F"/>
    <w:rsid w:val="00604138"/>
    <w:rsid w:val="00610249"/>
    <w:rsid w:val="0061260F"/>
    <w:rsid w:val="0061261B"/>
    <w:rsid w:val="00614496"/>
    <w:rsid w:val="00614FDB"/>
    <w:rsid w:val="0061700A"/>
    <w:rsid w:val="00617872"/>
    <w:rsid w:val="00620EBA"/>
    <w:rsid w:val="00622304"/>
    <w:rsid w:val="00622770"/>
    <w:rsid w:val="00622999"/>
    <w:rsid w:val="00623F63"/>
    <w:rsid w:val="0062462D"/>
    <w:rsid w:val="00624D54"/>
    <w:rsid w:val="006311B2"/>
    <w:rsid w:val="0063134D"/>
    <w:rsid w:val="006442FA"/>
    <w:rsid w:val="0064477F"/>
    <w:rsid w:val="00646ACA"/>
    <w:rsid w:val="00650270"/>
    <w:rsid w:val="006508F0"/>
    <w:rsid w:val="006511D0"/>
    <w:rsid w:val="006514DF"/>
    <w:rsid w:val="00651BF7"/>
    <w:rsid w:val="00657ED6"/>
    <w:rsid w:val="006668CD"/>
    <w:rsid w:val="0066759A"/>
    <w:rsid w:val="00671CA0"/>
    <w:rsid w:val="00675D43"/>
    <w:rsid w:val="00681A76"/>
    <w:rsid w:val="00681D4B"/>
    <w:rsid w:val="00682E81"/>
    <w:rsid w:val="00684D84"/>
    <w:rsid w:val="006862DD"/>
    <w:rsid w:val="00690FDD"/>
    <w:rsid w:val="00694A65"/>
    <w:rsid w:val="00695C9C"/>
    <w:rsid w:val="00697391"/>
    <w:rsid w:val="006A07E6"/>
    <w:rsid w:val="006A32E3"/>
    <w:rsid w:val="006A396B"/>
    <w:rsid w:val="006A5140"/>
    <w:rsid w:val="006A785E"/>
    <w:rsid w:val="006A7863"/>
    <w:rsid w:val="006B293D"/>
    <w:rsid w:val="006B34D9"/>
    <w:rsid w:val="006B551C"/>
    <w:rsid w:val="006B67D1"/>
    <w:rsid w:val="006B7526"/>
    <w:rsid w:val="006C373D"/>
    <w:rsid w:val="006C4244"/>
    <w:rsid w:val="006C4E7A"/>
    <w:rsid w:val="006C6F7F"/>
    <w:rsid w:val="006D086A"/>
    <w:rsid w:val="006D1F7C"/>
    <w:rsid w:val="006D2C57"/>
    <w:rsid w:val="006D5F59"/>
    <w:rsid w:val="006E002B"/>
    <w:rsid w:val="006E24A3"/>
    <w:rsid w:val="006E35DB"/>
    <w:rsid w:val="006E538D"/>
    <w:rsid w:val="006E5392"/>
    <w:rsid w:val="006E5440"/>
    <w:rsid w:val="006F33A7"/>
    <w:rsid w:val="00701D82"/>
    <w:rsid w:val="00702D2F"/>
    <w:rsid w:val="007030CC"/>
    <w:rsid w:val="0070348E"/>
    <w:rsid w:val="0070417A"/>
    <w:rsid w:val="007044DC"/>
    <w:rsid w:val="007078DB"/>
    <w:rsid w:val="00710764"/>
    <w:rsid w:val="007109DC"/>
    <w:rsid w:val="0071344D"/>
    <w:rsid w:val="007147D7"/>
    <w:rsid w:val="007174AA"/>
    <w:rsid w:val="00721736"/>
    <w:rsid w:val="00725928"/>
    <w:rsid w:val="007264CA"/>
    <w:rsid w:val="0072695F"/>
    <w:rsid w:val="007340AC"/>
    <w:rsid w:val="00735B5D"/>
    <w:rsid w:val="00736BAF"/>
    <w:rsid w:val="0073761B"/>
    <w:rsid w:val="007379B0"/>
    <w:rsid w:val="00740C95"/>
    <w:rsid w:val="0074252D"/>
    <w:rsid w:val="00747CDD"/>
    <w:rsid w:val="00752769"/>
    <w:rsid w:val="00752AEF"/>
    <w:rsid w:val="00756D1E"/>
    <w:rsid w:val="00757BBB"/>
    <w:rsid w:val="0076040C"/>
    <w:rsid w:val="007616DE"/>
    <w:rsid w:val="00762BC8"/>
    <w:rsid w:val="0076429F"/>
    <w:rsid w:val="00764BE1"/>
    <w:rsid w:val="007661A7"/>
    <w:rsid w:val="007676DF"/>
    <w:rsid w:val="007701F1"/>
    <w:rsid w:val="007777C3"/>
    <w:rsid w:val="007777F2"/>
    <w:rsid w:val="00777CF2"/>
    <w:rsid w:val="007809AB"/>
    <w:rsid w:val="007815FA"/>
    <w:rsid w:val="00782121"/>
    <w:rsid w:val="00784ED3"/>
    <w:rsid w:val="0078594C"/>
    <w:rsid w:val="0079193D"/>
    <w:rsid w:val="00794E95"/>
    <w:rsid w:val="00795299"/>
    <w:rsid w:val="007979FD"/>
    <w:rsid w:val="007A0272"/>
    <w:rsid w:val="007A2374"/>
    <w:rsid w:val="007A519B"/>
    <w:rsid w:val="007A5823"/>
    <w:rsid w:val="007B126D"/>
    <w:rsid w:val="007B184D"/>
    <w:rsid w:val="007B2877"/>
    <w:rsid w:val="007B3FB0"/>
    <w:rsid w:val="007B490D"/>
    <w:rsid w:val="007B5F89"/>
    <w:rsid w:val="007B6BAA"/>
    <w:rsid w:val="007B7C82"/>
    <w:rsid w:val="007C459A"/>
    <w:rsid w:val="007C77BC"/>
    <w:rsid w:val="007D1077"/>
    <w:rsid w:val="007D37D3"/>
    <w:rsid w:val="007D3E33"/>
    <w:rsid w:val="007D77BE"/>
    <w:rsid w:val="007E19FB"/>
    <w:rsid w:val="007E4E77"/>
    <w:rsid w:val="007E79D8"/>
    <w:rsid w:val="007F0388"/>
    <w:rsid w:val="007F694D"/>
    <w:rsid w:val="007F7E66"/>
    <w:rsid w:val="00800A7C"/>
    <w:rsid w:val="00801783"/>
    <w:rsid w:val="00812AC0"/>
    <w:rsid w:val="00812ACC"/>
    <w:rsid w:val="00816D27"/>
    <w:rsid w:val="00820A28"/>
    <w:rsid w:val="00821596"/>
    <w:rsid w:val="00821F50"/>
    <w:rsid w:val="00824AF8"/>
    <w:rsid w:val="00830A92"/>
    <w:rsid w:val="008316B4"/>
    <w:rsid w:val="00833B32"/>
    <w:rsid w:val="00833DC0"/>
    <w:rsid w:val="008362F0"/>
    <w:rsid w:val="008405BC"/>
    <w:rsid w:val="008416BA"/>
    <w:rsid w:val="00845D10"/>
    <w:rsid w:val="008551C3"/>
    <w:rsid w:val="0085524F"/>
    <w:rsid w:val="00855333"/>
    <w:rsid w:val="0085545A"/>
    <w:rsid w:val="0085665F"/>
    <w:rsid w:val="008607DF"/>
    <w:rsid w:val="008619C3"/>
    <w:rsid w:val="00861A1E"/>
    <w:rsid w:val="00861AEE"/>
    <w:rsid w:val="00864A82"/>
    <w:rsid w:val="00867A3C"/>
    <w:rsid w:val="00871789"/>
    <w:rsid w:val="008717FB"/>
    <w:rsid w:val="00873EC0"/>
    <w:rsid w:val="00874541"/>
    <w:rsid w:val="008764C5"/>
    <w:rsid w:val="008768A8"/>
    <w:rsid w:val="0088267F"/>
    <w:rsid w:val="00883736"/>
    <w:rsid w:val="008853CA"/>
    <w:rsid w:val="0089012B"/>
    <w:rsid w:val="008A0992"/>
    <w:rsid w:val="008A1904"/>
    <w:rsid w:val="008A5224"/>
    <w:rsid w:val="008A6DEA"/>
    <w:rsid w:val="008A72BB"/>
    <w:rsid w:val="008B6F57"/>
    <w:rsid w:val="008C38AA"/>
    <w:rsid w:val="008C4B6C"/>
    <w:rsid w:val="008C6FE2"/>
    <w:rsid w:val="008D0592"/>
    <w:rsid w:val="008D3C59"/>
    <w:rsid w:val="008D41F2"/>
    <w:rsid w:val="008D5BBC"/>
    <w:rsid w:val="008D78FB"/>
    <w:rsid w:val="008E0581"/>
    <w:rsid w:val="008E0FFD"/>
    <w:rsid w:val="008E24AB"/>
    <w:rsid w:val="008E51EF"/>
    <w:rsid w:val="008E69F6"/>
    <w:rsid w:val="008E6CDB"/>
    <w:rsid w:val="008E79AE"/>
    <w:rsid w:val="008E7AAC"/>
    <w:rsid w:val="008F2AAD"/>
    <w:rsid w:val="008F3090"/>
    <w:rsid w:val="008F31F4"/>
    <w:rsid w:val="008F41A9"/>
    <w:rsid w:val="008F697C"/>
    <w:rsid w:val="00902E83"/>
    <w:rsid w:val="00903D8B"/>
    <w:rsid w:val="00907C7A"/>
    <w:rsid w:val="00910820"/>
    <w:rsid w:val="009118FB"/>
    <w:rsid w:val="009156BF"/>
    <w:rsid w:val="009169D1"/>
    <w:rsid w:val="00917021"/>
    <w:rsid w:val="00923A94"/>
    <w:rsid w:val="0092752A"/>
    <w:rsid w:val="00927F83"/>
    <w:rsid w:val="009330DA"/>
    <w:rsid w:val="0093337D"/>
    <w:rsid w:val="009351DA"/>
    <w:rsid w:val="00935461"/>
    <w:rsid w:val="0093667D"/>
    <w:rsid w:val="00936A8A"/>
    <w:rsid w:val="009400DF"/>
    <w:rsid w:val="00956C11"/>
    <w:rsid w:val="00957167"/>
    <w:rsid w:val="00957DC7"/>
    <w:rsid w:val="00960BAA"/>
    <w:rsid w:val="00961902"/>
    <w:rsid w:val="0096389B"/>
    <w:rsid w:val="00963BCB"/>
    <w:rsid w:val="00967D9B"/>
    <w:rsid w:val="009711B9"/>
    <w:rsid w:val="00972491"/>
    <w:rsid w:val="00974A74"/>
    <w:rsid w:val="009764F3"/>
    <w:rsid w:val="00980AB2"/>
    <w:rsid w:val="009820A2"/>
    <w:rsid w:val="009828F4"/>
    <w:rsid w:val="0098559D"/>
    <w:rsid w:val="009865C3"/>
    <w:rsid w:val="00987387"/>
    <w:rsid w:val="009908FC"/>
    <w:rsid w:val="0099159A"/>
    <w:rsid w:val="009915CC"/>
    <w:rsid w:val="00993A01"/>
    <w:rsid w:val="00995DDC"/>
    <w:rsid w:val="00995EE2"/>
    <w:rsid w:val="009977EA"/>
    <w:rsid w:val="009A02C4"/>
    <w:rsid w:val="009A1773"/>
    <w:rsid w:val="009A1875"/>
    <w:rsid w:val="009A1880"/>
    <w:rsid w:val="009A1998"/>
    <w:rsid w:val="009A411F"/>
    <w:rsid w:val="009A45E0"/>
    <w:rsid w:val="009A5154"/>
    <w:rsid w:val="009B24E3"/>
    <w:rsid w:val="009B4527"/>
    <w:rsid w:val="009B7EB4"/>
    <w:rsid w:val="009B7FD1"/>
    <w:rsid w:val="009C1114"/>
    <w:rsid w:val="009C2BC0"/>
    <w:rsid w:val="009C6632"/>
    <w:rsid w:val="009D02B8"/>
    <w:rsid w:val="009D147F"/>
    <w:rsid w:val="009D14AE"/>
    <w:rsid w:val="009D2FF0"/>
    <w:rsid w:val="009D56F2"/>
    <w:rsid w:val="009D7C33"/>
    <w:rsid w:val="009E0222"/>
    <w:rsid w:val="009E2BB0"/>
    <w:rsid w:val="009F1F25"/>
    <w:rsid w:val="00A0065A"/>
    <w:rsid w:val="00A01BC4"/>
    <w:rsid w:val="00A01E3D"/>
    <w:rsid w:val="00A04FEB"/>
    <w:rsid w:val="00A13145"/>
    <w:rsid w:val="00A13A9F"/>
    <w:rsid w:val="00A13EAC"/>
    <w:rsid w:val="00A1495F"/>
    <w:rsid w:val="00A16795"/>
    <w:rsid w:val="00A17C15"/>
    <w:rsid w:val="00A20D6B"/>
    <w:rsid w:val="00A20FC9"/>
    <w:rsid w:val="00A23E53"/>
    <w:rsid w:val="00A26DAC"/>
    <w:rsid w:val="00A3195D"/>
    <w:rsid w:val="00A31BF0"/>
    <w:rsid w:val="00A36833"/>
    <w:rsid w:val="00A41B8E"/>
    <w:rsid w:val="00A448D5"/>
    <w:rsid w:val="00A471CC"/>
    <w:rsid w:val="00A50295"/>
    <w:rsid w:val="00A51DAD"/>
    <w:rsid w:val="00A54FA0"/>
    <w:rsid w:val="00A561D6"/>
    <w:rsid w:val="00A573D8"/>
    <w:rsid w:val="00A61D31"/>
    <w:rsid w:val="00A62E2E"/>
    <w:rsid w:val="00A644AE"/>
    <w:rsid w:val="00A6688A"/>
    <w:rsid w:val="00A70D22"/>
    <w:rsid w:val="00A70D41"/>
    <w:rsid w:val="00A71174"/>
    <w:rsid w:val="00A7268F"/>
    <w:rsid w:val="00A73A9B"/>
    <w:rsid w:val="00A75F32"/>
    <w:rsid w:val="00A77B38"/>
    <w:rsid w:val="00A80133"/>
    <w:rsid w:val="00A80EF0"/>
    <w:rsid w:val="00A834EB"/>
    <w:rsid w:val="00A83CF6"/>
    <w:rsid w:val="00A8530D"/>
    <w:rsid w:val="00A854BF"/>
    <w:rsid w:val="00A87034"/>
    <w:rsid w:val="00A9093F"/>
    <w:rsid w:val="00A91EC9"/>
    <w:rsid w:val="00A96B21"/>
    <w:rsid w:val="00A9710F"/>
    <w:rsid w:val="00AB058C"/>
    <w:rsid w:val="00AB1B28"/>
    <w:rsid w:val="00AB1BD2"/>
    <w:rsid w:val="00AB2CE8"/>
    <w:rsid w:val="00AB3677"/>
    <w:rsid w:val="00AB3913"/>
    <w:rsid w:val="00AB4926"/>
    <w:rsid w:val="00AB6102"/>
    <w:rsid w:val="00AB78E3"/>
    <w:rsid w:val="00AC246C"/>
    <w:rsid w:val="00AC2EA3"/>
    <w:rsid w:val="00AC3379"/>
    <w:rsid w:val="00AC35E4"/>
    <w:rsid w:val="00AC607D"/>
    <w:rsid w:val="00AC6D73"/>
    <w:rsid w:val="00AC7E65"/>
    <w:rsid w:val="00AD2481"/>
    <w:rsid w:val="00AD2913"/>
    <w:rsid w:val="00AD2966"/>
    <w:rsid w:val="00AD2A88"/>
    <w:rsid w:val="00AD4523"/>
    <w:rsid w:val="00AE1A95"/>
    <w:rsid w:val="00AE27C2"/>
    <w:rsid w:val="00AE2BA5"/>
    <w:rsid w:val="00AE3F54"/>
    <w:rsid w:val="00AE56A0"/>
    <w:rsid w:val="00AF1650"/>
    <w:rsid w:val="00AF3B02"/>
    <w:rsid w:val="00AF3CF6"/>
    <w:rsid w:val="00AF6533"/>
    <w:rsid w:val="00B00234"/>
    <w:rsid w:val="00B0186B"/>
    <w:rsid w:val="00B01EB5"/>
    <w:rsid w:val="00B06AA4"/>
    <w:rsid w:val="00B11BF7"/>
    <w:rsid w:val="00B1335E"/>
    <w:rsid w:val="00B14ECB"/>
    <w:rsid w:val="00B158A5"/>
    <w:rsid w:val="00B169C0"/>
    <w:rsid w:val="00B205BC"/>
    <w:rsid w:val="00B218A4"/>
    <w:rsid w:val="00B22ECB"/>
    <w:rsid w:val="00B23B6A"/>
    <w:rsid w:val="00B30F40"/>
    <w:rsid w:val="00B31466"/>
    <w:rsid w:val="00B31487"/>
    <w:rsid w:val="00B35763"/>
    <w:rsid w:val="00B36EA9"/>
    <w:rsid w:val="00B40947"/>
    <w:rsid w:val="00B42210"/>
    <w:rsid w:val="00B43103"/>
    <w:rsid w:val="00B4705B"/>
    <w:rsid w:val="00B51830"/>
    <w:rsid w:val="00B52381"/>
    <w:rsid w:val="00B52FA0"/>
    <w:rsid w:val="00B53AF0"/>
    <w:rsid w:val="00B561B2"/>
    <w:rsid w:val="00B564B2"/>
    <w:rsid w:val="00B571EA"/>
    <w:rsid w:val="00B6127C"/>
    <w:rsid w:val="00B61489"/>
    <w:rsid w:val="00B619DF"/>
    <w:rsid w:val="00B6221C"/>
    <w:rsid w:val="00B636A3"/>
    <w:rsid w:val="00B6380F"/>
    <w:rsid w:val="00B63FE9"/>
    <w:rsid w:val="00B6434B"/>
    <w:rsid w:val="00B65DC2"/>
    <w:rsid w:val="00B67041"/>
    <w:rsid w:val="00B72AC6"/>
    <w:rsid w:val="00B834AA"/>
    <w:rsid w:val="00B837C1"/>
    <w:rsid w:val="00B85180"/>
    <w:rsid w:val="00B85C35"/>
    <w:rsid w:val="00B86AF5"/>
    <w:rsid w:val="00B93FCA"/>
    <w:rsid w:val="00B9427A"/>
    <w:rsid w:val="00B9437D"/>
    <w:rsid w:val="00B96C3E"/>
    <w:rsid w:val="00B96F29"/>
    <w:rsid w:val="00B97FB4"/>
    <w:rsid w:val="00BA6D46"/>
    <w:rsid w:val="00BB2A89"/>
    <w:rsid w:val="00BB306F"/>
    <w:rsid w:val="00BC088D"/>
    <w:rsid w:val="00BC2C23"/>
    <w:rsid w:val="00BC352A"/>
    <w:rsid w:val="00BC5902"/>
    <w:rsid w:val="00BC68EB"/>
    <w:rsid w:val="00BD1ADE"/>
    <w:rsid w:val="00BD4CD1"/>
    <w:rsid w:val="00BD4E65"/>
    <w:rsid w:val="00BE0805"/>
    <w:rsid w:val="00BF0BF6"/>
    <w:rsid w:val="00BF144F"/>
    <w:rsid w:val="00BF19A9"/>
    <w:rsid w:val="00BF60B0"/>
    <w:rsid w:val="00C010BF"/>
    <w:rsid w:val="00C02933"/>
    <w:rsid w:val="00C029F9"/>
    <w:rsid w:val="00C03B42"/>
    <w:rsid w:val="00C049D1"/>
    <w:rsid w:val="00C063E0"/>
    <w:rsid w:val="00C06610"/>
    <w:rsid w:val="00C06F43"/>
    <w:rsid w:val="00C14722"/>
    <w:rsid w:val="00C149DC"/>
    <w:rsid w:val="00C16AC5"/>
    <w:rsid w:val="00C17D92"/>
    <w:rsid w:val="00C208A6"/>
    <w:rsid w:val="00C2354A"/>
    <w:rsid w:val="00C24EFC"/>
    <w:rsid w:val="00C25320"/>
    <w:rsid w:val="00C27084"/>
    <w:rsid w:val="00C2B35C"/>
    <w:rsid w:val="00C31D4B"/>
    <w:rsid w:val="00C31E99"/>
    <w:rsid w:val="00C337DA"/>
    <w:rsid w:val="00C33937"/>
    <w:rsid w:val="00C34174"/>
    <w:rsid w:val="00C354EA"/>
    <w:rsid w:val="00C357B9"/>
    <w:rsid w:val="00C363ED"/>
    <w:rsid w:val="00C37494"/>
    <w:rsid w:val="00C37671"/>
    <w:rsid w:val="00C37BD4"/>
    <w:rsid w:val="00C37BEE"/>
    <w:rsid w:val="00C4166D"/>
    <w:rsid w:val="00C50730"/>
    <w:rsid w:val="00C53A5D"/>
    <w:rsid w:val="00C55412"/>
    <w:rsid w:val="00C55E70"/>
    <w:rsid w:val="00C607A0"/>
    <w:rsid w:val="00C60D4F"/>
    <w:rsid w:val="00C65CA5"/>
    <w:rsid w:val="00C6675B"/>
    <w:rsid w:val="00C6790C"/>
    <w:rsid w:val="00C73051"/>
    <w:rsid w:val="00C73388"/>
    <w:rsid w:val="00C743C3"/>
    <w:rsid w:val="00C74C5F"/>
    <w:rsid w:val="00C82261"/>
    <w:rsid w:val="00C83DAE"/>
    <w:rsid w:val="00C91D7E"/>
    <w:rsid w:val="00C93878"/>
    <w:rsid w:val="00C964E9"/>
    <w:rsid w:val="00CA268A"/>
    <w:rsid w:val="00CA2883"/>
    <w:rsid w:val="00CA4FA6"/>
    <w:rsid w:val="00CA52E7"/>
    <w:rsid w:val="00CB0CA1"/>
    <w:rsid w:val="00CB3122"/>
    <w:rsid w:val="00CB4C7E"/>
    <w:rsid w:val="00CC061D"/>
    <w:rsid w:val="00CC1A25"/>
    <w:rsid w:val="00CC1EE0"/>
    <w:rsid w:val="00CC4895"/>
    <w:rsid w:val="00CC549E"/>
    <w:rsid w:val="00CC72B0"/>
    <w:rsid w:val="00CD0F67"/>
    <w:rsid w:val="00CD1B9B"/>
    <w:rsid w:val="00CD1FCC"/>
    <w:rsid w:val="00CD27B5"/>
    <w:rsid w:val="00CD361F"/>
    <w:rsid w:val="00CD4007"/>
    <w:rsid w:val="00CD51D0"/>
    <w:rsid w:val="00CE071A"/>
    <w:rsid w:val="00CE2196"/>
    <w:rsid w:val="00CE54F9"/>
    <w:rsid w:val="00CE5FB8"/>
    <w:rsid w:val="00CF1E57"/>
    <w:rsid w:val="00CF3EF6"/>
    <w:rsid w:val="00CF5EDD"/>
    <w:rsid w:val="00CF70AB"/>
    <w:rsid w:val="00CF7B83"/>
    <w:rsid w:val="00D016FE"/>
    <w:rsid w:val="00D01747"/>
    <w:rsid w:val="00D03986"/>
    <w:rsid w:val="00D07846"/>
    <w:rsid w:val="00D12468"/>
    <w:rsid w:val="00D15495"/>
    <w:rsid w:val="00D163F5"/>
    <w:rsid w:val="00D175DA"/>
    <w:rsid w:val="00D228EE"/>
    <w:rsid w:val="00D22F17"/>
    <w:rsid w:val="00D26EDE"/>
    <w:rsid w:val="00D271FC"/>
    <w:rsid w:val="00D3059B"/>
    <w:rsid w:val="00D317EF"/>
    <w:rsid w:val="00D31880"/>
    <w:rsid w:val="00D34B71"/>
    <w:rsid w:val="00D45B31"/>
    <w:rsid w:val="00D478BE"/>
    <w:rsid w:val="00D51A61"/>
    <w:rsid w:val="00D5504B"/>
    <w:rsid w:val="00D555F4"/>
    <w:rsid w:val="00D60046"/>
    <w:rsid w:val="00D61A65"/>
    <w:rsid w:val="00D63CC3"/>
    <w:rsid w:val="00D71FFB"/>
    <w:rsid w:val="00D74CB8"/>
    <w:rsid w:val="00D76220"/>
    <w:rsid w:val="00D82159"/>
    <w:rsid w:val="00D8401D"/>
    <w:rsid w:val="00D84A74"/>
    <w:rsid w:val="00D86105"/>
    <w:rsid w:val="00D903B8"/>
    <w:rsid w:val="00D911C4"/>
    <w:rsid w:val="00D9124E"/>
    <w:rsid w:val="00D92062"/>
    <w:rsid w:val="00D954DD"/>
    <w:rsid w:val="00D95A1E"/>
    <w:rsid w:val="00D96122"/>
    <w:rsid w:val="00D97552"/>
    <w:rsid w:val="00DA2BBE"/>
    <w:rsid w:val="00DA4949"/>
    <w:rsid w:val="00DA759A"/>
    <w:rsid w:val="00DB0C26"/>
    <w:rsid w:val="00DB154D"/>
    <w:rsid w:val="00DB1DE9"/>
    <w:rsid w:val="00DB417B"/>
    <w:rsid w:val="00DB4C15"/>
    <w:rsid w:val="00DB6790"/>
    <w:rsid w:val="00DB7E2A"/>
    <w:rsid w:val="00DC121A"/>
    <w:rsid w:val="00DC24E3"/>
    <w:rsid w:val="00DC360A"/>
    <w:rsid w:val="00DC4B7F"/>
    <w:rsid w:val="00DC5DFE"/>
    <w:rsid w:val="00DC5F18"/>
    <w:rsid w:val="00DC7270"/>
    <w:rsid w:val="00DD092B"/>
    <w:rsid w:val="00DD1AC8"/>
    <w:rsid w:val="00DD4EBD"/>
    <w:rsid w:val="00DE10E0"/>
    <w:rsid w:val="00DE1DA7"/>
    <w:rsid w:val="00DE3EF6"/>
    <w:rsid w:val="00DE5F67"/>
    <w:rsid w:val="00DF154B"/>
    <w:rsid w:val="00DF5BBA"/>
    <w:rsid w:val="00DF6FC7"/>
    <w:rsid w:val="00E007CC"/>
    <w:rsid w:val="00E06D12"/>
    <w:rsid w:val="00E10118"/>
    <w:rsid w:val="00E12200"/>
    <w:rsid w:val="00E13134"/>
    <w:rsid w:val="00E1354B"/>
    <w:rsid w:val="00E13942"/>
    <w:rsid w:val="00E15842"/>
    <w:rsid w:val="00E1597C"/>
    <w:rsid w:val="00E1697B"/>
    <w:rsid w:val="00E16A04"/>
    <w:rsid w:val="00E17091"/>
    <w:rsid w:val="00E1772B"/>
    <w:rsid w:val="00E2001A"/>
    <w:rsid w:val="00E20567"/>
    <w:rsid w:val="00E20DE9"/>
    <w:rsid w:val="00E2127B"/>
    <w:rsid w:val="00E217FA"/>
    <w:rsid w:val="00E2438A"/>
    <w:rsid w:val="00E25507"/>
    <w:rsid w:val="00E25813"/>
    <w:rsid w:val="00E259F4"/>
    <w:rsid w:val="00E27F81"/>
    <w:rsid w:val="00E302E1"/>
    <w:rsid w:val="00E305A3"/>
    <w:rsid w:val="00E3250E"/>
    <w:rsid w:val="00E34596"/>
    <w:rsid w:val="00E36F3B"/>
    <w:rsid w:val="00E421A1"/>
    <w:rsid w:val="00E42C35"/>
    <w:rsid w:val="00E460AF"/>
    <w:rsid w:val="00E46C0C"/>
    <w:rsid w:val="00E50783"/>
    <w:rsid w:val="00E514FF"/>
    <w:rsid w:val="00E516C3"/>
    <w:rsid w:val="00E527BA"/>
    <w:rsid w:val="00E57423"/>
    <w:rsid w:val="00E5763D"/>
    <w:rsid w:val="00E613F4"/>
    <w:rsid w:val="00E63239"/>
    <w:rsid w:val="00E64170"/>
    <w:rsid w:val="00E66974"/>
    <w:rsid w:val="00E67555"/>
    <w:rsid w:val="00E70079"/>
    <w:rsid w:val="00E706A9"/>
    <w:rsid w:val="00E71C7F"/>
    <w:rsid w:val="00E75858"/>
    <w:rsid w:val="00E77D3A"/>
    <w:rsid w:val="00E82EB0"/>
    <w:rsid w:val="00E83A68"/>
    <w:rsid w:val="00E8645C"/>
    <w:rsid w:val="00E87C43"/>
    <w:rsid w:val="00E922F2"/>
    <w:rsid w:val="00E9731D"/>
    <w:rsid w:val="00EA1C5E"/>
    <w:rsid w:val="00EB10F3"/>
    <w:rsid w:val="00EB1854"/>
    <w:rsid w:val="00EB45A5"/>
    <w:rsid w:val="00EB7533"/>
    <w:rsid w:val="00EC4B2E"/>
    <w:rsid w:val="00EC50F6"/>
    <w:rsid w:val="00ED3849"/>
    <w:rsid w:val="00ED4ABA"/>
    <w:rsid w:val="00ED4E23"/>
    <w:rsid w:val="00ED556C"/>
    <w:rsid w:val="00EE0A09"/>
    <w:rsid w:val="00EE449D"/>
    <w:rsid w:val="00EE4C28"/>
    <w:rsid w:val="00EE55C5"/>
    <w:rsid w:val="00EE5C76"/>
    <w:rsid w:val="00EE79BC"/>
    <w:rsid w:val="00F03602"/>
    <w:rsid w:val="00F0423C"/>
    <w:rsid w:val="00F06CB6"/>
    <w:rsid w:val="00F06D16"/>
    <w:rsid w:val="00F07D0C"/>
    <w:rsid w:val="00F141D4"/>
    <w:rsid w:val="00F1443B"/>
    <w:rsid w:val="00F14472"/>
    <w:rsid w:val="00F145AD"/>
    <w:rsid w:val="00F1514C"/>
    <w:rsid w:val="00F17621"/>
    <w:rsid w:val="00F17699"/>
    <w:rsid w:val="00F21B84"/>
    <w:rsid w:val="00F258FB"/>
    <w:rsid w:val="00F25A13"/>
    <w:rsid w:val="00F27E78"/>
    <w:rsid w:val="00F30D62"/>
    <w:rsid w:val="00F327AC"/>
    <w:rsid w:val="00F354BB"/>
    <w:rsid w:val="00F358CB"/>
    <w:rsid w:val="00F36CC8"/>
    <w:rsid w:val="00F37CAF"/>
    <w:rsid w:val="00F43935"/>
    <w:rsid w:val="00F44B71"/>
    <w:rsid w:val="00F44D86"/>
    <w:rsid w:val="00F44F3C"/>
    <w:rsid w:val="00F46DCA"/>
    <w:rsid w:val="00F50F35"/>
    <w:rsid w:val="00F51593"/>
    <w:rsid w:val="00F51AC5"/>
    <w:rsid w:val="00F55C14"/>
    <w:rsid w:val="00F55D16"/>
    <w:rsid w:val="00F619FC"/>
    <w:rsid w:val="00F6356E"/>
    <w:rsid w:val="00F6415F"/>
    <w:rsid w:val="00F64C86"/>
    <w:rsid w:val="00F658C6"/>
    <w:rsid w:val="00F65E8D"/>
    <w:rsid w:val="00F677FF"/>
    <w:rsid w:val="00F67C32"/>
    <w:rsid w:val="00F709C2"/>
    <w:rsid w:val="00F7141E"/>
    <w:rsid w:val="00F71955"/>
    <w:rsid w:val="00F71CBC"/>
    <w:rsid w:val="00F748CC"/>
    <w:rsid w:val="00F74B53"/>
    <w:rsid w:val="00F811AF"/>
    <w:rsid w:val="00F81331"/>
    <w:rsid w:val="00F8199E"/>
    <w:rsid w:val="00F81A62"/>
    <w:rsid w:val="00F81FE1"/>
    <w:rsid w:val="00F820DF"/>
    <w:rsid w:val="00F8296D"/>
    <w:rsid w:val="00F84D67"/>
    <w:rsid w:val="00F861AA"/>
    <w:rsid w:val="00F9034C"/>
    <w:rsid w:val="00F95257"/>
    <w:rsid w:val="00F956B1"/>
    <w:rsid w:val="00FA18C9"/>
    <w:rsid w:val="00FA2360"/>
    <w:rsid w:val="00FA275B"/>
    <w:rsid w:val="00FA30EA"/>
    <w:rsid w:val="00FA4C9D"/>
    <w:rsid w:val="00FA5F95"/>
    <w:rsid w:val="00FB484C"/>
    <w:rsid w:val="00FB4D37"/>
    <w:rsid w:val="00FB502A"/>
    <w:rsid w:val="00FB52F2"/>
    <w:rsid w:val="00FB72AA"/>
    <w:rsid w:val="00FB7E18"/>
    <w:rsid w:val="00FC1E42"/>
    <w:rsid w:val="00FC3171"/>
    <w:rsid w:val="00FC6A43"/>
    <w:rsid w:val="00FC7AA1"/>
    <w:rsid w:val="00FD07D2"/>
    <w:rsid w:val="00FD0A27"/>
    <w:rsid w:val="00FD28E1"/>
    <w:rsid w:val="00FD3015"/>
    <w:rsid w:val="00FD3A91"/>
    <w:rsid w:val="00FD471F"/>
    <w:rsid w:val="00FD6EDF"/>
    <w:rsid w:val="00FE1E56"/>
    <w:rsid w:val="00FE21B6"/>
    <w:rsid w:val="00FE22B7"/>
    <w:rsid w:val="00FE4DBF"/>
    <w:rsid w:val="00FE543B"/>
    <w:rsid w:val="00FE6594"/>
    <w:rsid w:val="00FF2506"/>
    <w:rsid w:val="00FF6937"/>
    <w:rsid w:val="00FF77BD"/>
    <w:rsid w:val="03FA541E"/>
    <w:rsid w:val="0874F92D"/>
    <w:rsid w:val="0E7BD0FA"/>
    <w:rsid w:val="0E9F43C2"/>
    <w:rsid w:val="0FEB5513"/>
    <w:rsid w:val="10F8E557"/>
    <w:rsid w:val="14308619"/>
    <w:rsid w:val="17DE4640"/>
    <w:rsid w:val="1A6E7E95"/>
    <w:rsid w:val="1B5A5402"/>
    <w:rsid w:val="1CDABBC7"/>
    <w:rsid w:val="1D0E450E"/>
    <w:rsid w:val="1EAA156F"/>
    <w:rsid w:val="227304B5"/>
    <w:rsid w:val="23C3CB80"/>
    <w:rsid w:val="250923CE"/>
    <w:rsid w:val="251956F3"/>
    <w:rsid w:val="267A011D"/>
    <w:rsid w:val="26A4F42F"/>
    <w:rsid w:val="27215A49"/>
    <w:rsid w:val="29DC94F1"/>
    <w:rsid w:val="2A324C16"/>
    <w:rsid w:val="2EC826BF"/>
    <w:rsid w:val="3063F720"/>
    <w:rsid w:val="3098E27A"/>
    <w:rsid w:val="32253D43"/>
    <w:rsid w:val="33837737"/>
    <w:rsid w:val="35376843"/>
    <w:rsid w:val="37F91254"/>
    <w:rsid w:val="386F0905"/>
    <w:rsid w:val="388BD3A7"/>
    <w:rsid w:val="39D30499"/>
    <w:rsid w:val="3A67A189"/>
    <w:rsid w:val="3D427A28"/>
    <w:rsid w:val="43FB5FDF"/>
    <w:rsid w:val="46D82197"/>
    <w:rsid w:val="4A07D4D3"/>
    <w:rsid w:val="4B8CE64A"/>
    <w:rsid w:val="4D28B6AB"/>
    <w:rsid w:val="4FCF08E9"/>
    <w:rsid w:val="59A58652"/>
    <w:rsid w:val="59D016D2"/>
    <w:rsid w:val="5A0B4FF7"/>
    <w:rsid w:val="5DA23036"/>
    <w:rsid w:val="5E648D9B"/>
    <w:rsid w:val="5F1BC550"/>
    <w:rsid w:val="616FC23D"/>
    <w:rsid w:val="64A762FF"/>
    <w:rsid w:val="6620FBAA"/>
    <w:rsid w:val="6719B693"/>
    <w:rsid w:val="68B586F4"/>
    <w:rsid w:val="6F3DC7AB"/>
    <w:rsid w:val="7331F520"/>
    <w:rsid w:val="751841BB"/>
    <w:rsid w:val="751A4EEC"/>
    <w:rsid w:val="7598215F"/>
    <w:rsid w:val="7621825D"/>
    <w:rsid w:val="7733F1C0"/>
    <w:rsid w:val="77BD52BE"/>
    <w:rsid w:val="7990F7EC"/>
    <w:rsid w:val="7D8B1299"/>
    <w:rsid w:val="7F26E2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1849B"/>
  <w15:chartTrackingRefBased/>
  <w15:docId w15:val="{51A3A262-61AD-4C57-BFF0-F92D2796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Titre1">
    <w:name w:val="heading 1"/>
    <w:basedOn w:val="Normal"/>
    <w:next w:val="Normal"/>
    <w:link w:val="Titre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Notedebasdepage">
    <w:name w:val="footnote text"/>
    <w:basedOn w:val="Normal"/>
    <w:link w:val="NotedebasdepageCar"/>
    <w:uiPriority w:val="99"/>
    <w:unhideWhenUsed/>
    <w:rsid w:val="00A96B21"/>
    <w:rPr>
      <w:sz w:val="20"/>
      <w:szCs w:val="20"/>
    </w:rPr>
  </w:style>
  <w:style w:type="character" w:customStyle="1" w:styleId="NotedebasdepageCar">
    <w:name w:val="Note de bas de page Car"/>
    <w:basedOn w:val="Policepardfaut"/>
    <w:link w:val="Notedebasdepage"/>
    <w:uiPriority w:val="99"/>
    <w:rsid w:val="00A96B21"/>
    <w:rPr>
      <w:rFonts w:ascii="Times New Roman" w:eastAsia="Times New Roman" w:hAnsi="Times New Roman" w:cs="Times New Roman"/>
      <w:kern w:val="0"/>
      <w:sz w:val="20"/>
      <w:szCs w:val="20"/>
      <w:lang w:val="en-GB"/>
      <w14:ligatures w14:val="none"/>
    </w:rPr>
  </w:style>
  <w:style w:type="character" w:styleId="Appelnotedebasdep">
    <w:name w:val="footnote reference"/>
    <w:aliases w:val="ftref,16 Point,Superscript 6 Point,number,SUPERS,Footnote Reference Superscript,(Ref. de nota al pie),fr,Ref,de nota al pie,註腳內容,de nota al pie + (Asian) MS Mincho,Footnote Reference1,11 pt,Ref. de nota de rodapé1,stylish"/>
    <w:basedOn w:val="Policepardfaut"/>
    <w:uiPriority w:val="99"/>
    <w:unhideWhenUsed/>
    <w:qFormat/>
    <w:rsid w:val="00A96B21"/>
    <w:rPr>
      <w:vertAlign w:val="superscript"/>
    </w:rPr>
  </w:style>
  <w:style w:type="paragraph" w:customStyle="1" w:styleId="Footnote">
    <w:name w:val="Footnote"/>
    <w:basedOn w:val="Notedebasdepage"/>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016597"/>
    <w:pPr>
      <w:numPr>
        <w:numId w:val="2"/>
      </w:numPr>
      <w:tabs>
        <w:tab w:val="left" w:pos="1134"/>
      </w:tabs>
      <w:spacing w:before="120" w:after="120"/>
      <w:ind w:left="567" w:firstLine="0"/>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lang w:val="en-GB"/>
      <w14:ligatures w14:val="none"/>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14:ligatures w14:val="none"/>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5"/>
      </w:numPr>
      <w:tabs>
        <w:tab w:val="left" w:pos="1701"/>
      </w:tabs>
      <w:spacing w:before="120" w:after="120"/>
      <w:ind w:left="1134" w:firstLine="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en-GB"/>
      <w14:ligatures w14:val="none"/>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14:ligatures w14:val="none"/>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nhideWhenUsed/>
    <w:rsid w:val="00CF70AB"/>
    <w:rPr>
      <w:sz w:val="20"/>
      <w:szCs w:val="20"/>
    </w:rPr>
  </w:style>
  <w:style w:type="character" w:customStyle="1" w:styleId="CommentaireCar">
    <w:name w:val="Commentaire Car"/>
    <w:basedOn w:val="Policepardfaut"/>
    <w:link w:val="Commentaire"/>
    <w:rsid w:val="00CF70AB"/>
    <w:rPr>
      <w:rFonts w:ascii="Times New Roman" w:eastAsia="Times New Roma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paragraph">
    <w:name w:val="paragraph"/>
    <w:basedOn w:val="Normal"/>
    <w:rsid w:val="00F1514C"/>
    <w:pPr>
      <w:spacing w:before="100" w:beforeAutospacing="1" w:after="100" w:afterAutospacing="1"/>
      <w:jc w:val="left"/>
    </w:pPr>
    <w:rPr>
      <w:sz w:val="24"/>
      <w:lang w:val="es-CR" w:eastAsia="es-MX"/>
    </w:rPr>
  </w:style>
  <w:style w:type="character" w:customStyle="1" w:styleId="normaltextrun">
    <w:name w:val="normaltextrun"/>
    <w:basedOn w:val="Policepardfaut"/>
    <w:rsid w:val="00F1514C"/>
  </w:style>
  <w:style w:type="character" w:customStyle="1" w:styleId="eop">
    <w:name w:val="eop"/>
    <w:basedOn w:val="Policepardfaut"/>
    <w:rsid w:val="00F1514C"/>
  </w:style>
  <w:style w:type="character" w:styleId="Lienhypertexte">
    <w:name w:val="Hyperlink"/>
    <w:basedOn w:val="Policepardfaut"/>
    <w:uiPriority w:val="99"/>
    <w:unhideWhenUsed/>
    <w:rsid w:val="00A13EAC"/>
    <w:rPr>
      <w:color w:val="0563C1" w:themeColor="hyperlink"/>
      <w:u w:val="single"/>
    </w:rPr>
  </w:style>
  <w:style w:type="character" w:customStyle="1" w:styleId="UnresolvedMention1">
    <w:name w:val="Unresolved Mention1"/>
    <w:basedOn w:val="Policepardfaut"/>
    <w:uiPriority w:val="99"/>
    <w:semiHidden/>
    <w:unhideWhenUsed/>
    <w:rsid w:val="00A13EAC"/>
    <w:rPr>
      <w:color w:val="605E5C"/>
      <w:shd w:val="clear" w:color="auto" w:fill="E1DFDD"/>
    </w:rPr>
  </w:style>
  <w:style w:type="numbering" w:customStyle="1" w:styleId="Listaactual1">
    <w:name w:val="Lista actual1"/>
    <w:uiPriority w:val="99"/>
    <w:rsid w:val="00795299"/>
    <w:pPr>
      <w:numPr>
        <w:numId w:val="9"/>
      </w:numPr>
    </w:pPr>
  </w:style>
  <w:style w:type="paragraph" w:customStyle="1" w:styleId="Footer-pool">
    <w:name w:val="Footer-pool"/>
    <w:basedOn w:val="Normal"/>
    <w:next w:val="Normal"/>
    <w:rsid w:val="00DC7270"/>
    <w:pPr>
      <w:tabs>
        <w:tab w:val="left" w:pos="1247"/>
        <w:tab w:val="left" w:pos="1814"/>
        <w:tab w:val="left" w:pos="2381"/>
        <w:tab w:val="left" w:pos="2948"/>
        <w:tab w:val="left" w:pos="3515"/>
        <w:tab w:val="left" w:pos="4082"/>
        <w:tab w:val="left" w:pos="4321"/>
        <w:tab w:val="right" w:pos="8641"/>
      </w:tabs>
      <w:spacing w:before="60" w:after="120"/>
      <w:jc w:val="left"/>
    </w:pPr>
    <w:rPr>
      <w:b/>
      <w:sz w:val="18"/>
      <w:szCs w:val="20"/>
      <w:lang w:val="en-US"/>
    </w:rPr>
  </w:style>
  <w:style w:type="paragraph" w:styleId="Paragraphedeliste">
    <w:name w:val="List Paragraph"/>
    <w:basedOn w:val="Normal"/>
    <w:uiPriority w:val="34"/>
    <w:qFormat/>
    <w:rsid w:val="00016AD1"/>
    <w:pPr>
      <w:ind w:left="720"/>
      <w:contextualSpacing/>
    </w:pPr>
  </w:style>
  <w:style w:type="paragraph" w:styleId="Rvision">
    <w:name w:val="Revision"/>
    <w:hidden/>
    <w:uiPriority w:val="99"/>
    <w:semiHidden/>
    <w:rsid w:val="004730EA"/>
    <w:pPr>
      <w:spacing w:after="0" w:line="240" w:lineRule="auto"/>
    </w:pPr>
    <w:rPr>
      <w:rFonts w:ascii="Times New Roman" w:eastAsia="Times New Roman" w:hAnsi="Times New Roman" w:cs="Times New Roman"/>
      <w:kern w:val="0"/>
      <w:szCs w:val="24"/>
      <w:lang w:val="en-GB"/>
      <w14:ligatures w14:val="none"/>
    </w:rPr>
  </w:style>
  <w:style w:type="character" w:styleId="Lienhypertextesuivivisit">
    <w:name w:val="FollowedHyperlink"/>
    <w:basedOn w:val="Policepardfaut"/>
    <w:uiPriority w:val="99"/>
    <w:semiHidden/>
    <w:unhideWhenUsed/>
    <w:rsid w:val="00B61489"/>
    <w:rPr>
      <w:color w:val="954F72" w:themeColor="followedHyperlink"/>
      <w:u w:val="single"/>
    </w:rPr>
  </w:style>
  <w:style w:type="character" w:customStyle="1" w:styleId="ui-provider">
    <w:name w:val="ui-provider"/>
    <w:basedOn w:val="Policepardfaut"/>
    <w:rsid w:val="00C357B9"/>
  </w:style>
  <w:style w:type="paragraph" w:styleId="Textedebulles">
    <w:name w:val="Balloon Text"/>
    <w:basedOn w:val="Normal"/>
    <w:link w:val="TextedebullesCar"/>
    <w:uiPriority w:val="99"/>
    <w:semiHidden/>
    <w:unhideWhenUsed/>
    <w:rsid w:val="007425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252D"/>
    <w:rPr>
      <w:rFonts w:ascii="Segoe UI" w:eastAsia="Times New Roman" w:hAnsi="Segoe UI" w:cs="Segoe UI"/>
      <w:kern w:val="0"/>
      <w:sz w:val="18"/>
      <w:szCs w:val="18"/>
      <w:lang w:val="en-GB"/>
      <w14:ligatures w14:val="none"/>
    </w:rPr>
  </w:style>
  <w:style w:type="paragraph" w:customStyle="1" w:styleId="Para1RecommendationDecision">
    <w:name w:val="Para 1 Recommendation/Decision"/>
    <w:basedOn w:val="Para1"/>
    <w:qFormat/>
    <w:rsid w:val="00C65CA5"/>
    <w:pPr>
      <w:numPr>
        <w:numId w:val="0"/>
      </w:numPr>
      <w:tabs>
        <w:tab w:val="clear" w:pos="1134"/>
      </w:tabs>
      <w:ind w:left="567" w:firstLine="567"/>
    </w:pPr>
  </w:style>
  <w:style w:type="paragraph" w:customStyle="1" w:styleId="Para2RecommendationDecision">
    <w:name w:val="Para 2 Recommendation/Decision"/>
    <w:basedOn w:val="Normal"/>
    <w:qFormat/>
    <w:rsid w:val="00FA4C9D"/>
    <w:pPr>
      <w:tabs>
        <w:tab w:val="left" w:pos="1701"/>
      </w:tabs>
      <w:spacing w:before="120" w:after="120"/>
      <w:ind w:left="567" w:firstLine="567"/>
    </w:pPr>
  </w:style>
  <w:style w:type="character" w:customStyle="1" w:styleId="UnresolvedMention">
    <w:name w:val="Unresolved Mention"/>
    <w:basedOn w:val="Policepardfaut"/>
    <w:uiPriority w:val="99"/>
    <w:semiHidden/>
    <w:unhideWhenUsed/>
    <w:rsid w:val="00764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28730">
      <w:bodyDiv w:val="1"/>
      <w:marLeft w:val="0"/>
      <w:marRight w:val="0"/>
      <w:marTop w:val="0"/>
      <w:marBottom w:val="0"/>
      <w:divBdr>
        <w:top w:val="none" w:sz="0" w:space="0" w:color="auto"/>
        <w:left w:val="none" w:sz="0" w:space="0" w:color="auto"/>
        <w:bottom w:val="none" w:sz="0" w:space="0" w:color="auto"/>
        <w:right w:val="none" w:sz="0" w:space="0" w:color="auto"/>
      </w:divBdr>
    </w:div>
    <w:div w:id="1704864009">
      <w:bodyDiv w:val="1"/>
      <w:marLeft w:val="0"/>
      <w:marRight w:val="0"/>
      <w:marTop w:val="0"/>
      <w:marBottom w:val="0"/>
      <w:divBdr>
        <w:top w:val="none" w:sz="0" w:space="0" w:color="auto"/>
        <w:left w:val="none" w:sz="0" w:space="0" w:color="auto"/>
        <w:bottom w:val="none" w:sz="0" w:space="0" w:color="auto"/>
        <w:right w:val="none" w:sz="0" w:space="0" w:color="auto"/>
      </w:divBdr>
      <w:divsChild>
        <w:div w:id="709844618">
          <w:marLeft w:val="0"/>
          <w:marRight w:val="0"/>
          <w:marTop w:val="0"/>
          <w:marBottom w:val="0"/>
          <w:divBdr>
            <w:top w:val="none" w:sz="0" w:space="0" w:color="auto"/>
            <w:left w:val="none" w:sz="0" w:space="0" w:color="auto"/>
            <w:bottom w:val="none" w:sz="0" w:space="0" w:color="auto"/>
            <w:right w:val="none" w:sz="0" w:space="0" w:color="auto"/>
          </w:divBdr>
        </w:div>
        <w:div w:id="1075321956">
          <w:marLeft w:val="0"/>
          <w:marRight w:val="0"/>
          <w:marTop w:val="0"/>
          <w:marBottom w:val="0"/>
          <w:divBdr>
            <w:top w:val="none" w:sz="0" w:space="0" w:color="auto"/>
            <w:left w:val="none" w:sz="0" w:space="0" w:color="auto"/>
            <w:bottom w:val="none" w:sz="0" w:space="0" w:color="auto"/>
            <w:right w:val="none" w:sz="0" w:space="0" w:color="auto"/>
          </w:divBdr>
        </w:div>
      </w:divsChild>
    </w:div>
    <w:div w:id="21053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bd.int/doc/decisions/cop-15/cop-15-dec-23-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23-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1001-A346-4EFE-A1EA-59F829B9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DBF50A16-2D16-48C7-B3DD-C79E237B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7</Pages>
  <Words>3851</Words>
  <Characters>21183</Characters>
  <Application>Microsoft Office Word</Application>
  <DocSecurity>0</DocSecurity>
  <Lines>176</Lines>
  <Paragraphs>49</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Review of findings from the Thematic Assessment Report on the Sustainable Use of Wild Species of the Intergovernmental Science-Policy Platform on Biodiversity and Ecosystem Services and their implications for the work undertaken under the Convention</vt:lpstr>
      <vt:lpstr>Review of findings from the Thematic Assessment Report on the Sustainable Use of Wild Species of the Intergovernmental Science-Policy Platform on Biodiversity and Ecosystem Services and their implications for the work undertaken under the Convention</vt:lpstr>
      <vt:lpstr>Review of findings from the Thematic Assessment Report on the Sustainable Use of Wild Species of the Intergovernmental Science-Policy Platform on Biodiversity and Ecosystem Services and their implications for the work undertaken under the Convention</vt:lpstr>
    </vt:vector>
  </TitlesOfParts>
  <Company/>
  <LinksUpToDate>false</LinksUpToDate>
  <CharactersWithSpaces>24985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findings from the Thematic Assessment Report on the Sustainable Use of Wild Species of the Intergovernmental Science-Policy Platform on Biodiversity and Ecosystem Services and their implications for the work undertaken under the Convention</dc:title>
  <dc:subject>CBD/SBSTTA/25/7</dc:subject>
  <dc:creator>Microsoft Office User</dc:creator>
  <cp:keywords/>
  <dc:description/>
  <cp:lastModifiedBy>Louise</cp:lastModifiedBy>
  <cp:revision>14</cp:revision>
  <cp:lastPrinted>2023-09-27T16:59:00Z</cp:lastPrinted>
  <dcterms:created xsi:type="dcterms:W3CDTF">2023-09-25T16:34:00Z</dcterms:created>
  <dcterms:modified xsi:type="dcterms:W3CDTF">2023-09-28T13:14:00Z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